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7441" w14:textId="44CF3C41" w:rsidR="00905822" w:rsidRDefault="004A5CF6" w:rsidP="00905822">
      <w:r>
        <w:rPr>
          <w:noProof/>
        </w:rPr>
        <w:drawing>
          <wp:inline distT="0" distB="0" distL="0" distR="0" wp14:anchorId="1BE062DC" wp14:editId="0A3D5343">
            <wp:extent cx="3535444" cy="9486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597359" cy="9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1990F" w14:textId="77777777" w:rsidR="00905822" w:rsidRPr="002338A9" w:rsidRDefault="00905822" w:rsidP="00905822">
      <w:pPr>
        <w:rPr>
          <w:color w:val="93BDB3" w:themeColor="accent6"/>
          <w:sz w:val="32"/>
          <w:szCs w:val="32"/>
        </w:rPr>
      </w:pPr>
      <w:r w:rsidRPr="004A5CF6">
        <w:rPr>
          <w:color w:val="00656A" w:themeColor="text2"/>
          <w:sz w:val="32"/>
          <w:szCs w:val="32"/>
        </w:rPr>
        <w:t>Self-Audit Checklist</w:t>
      </w:r>
      <w:r>
        <w:rPr>
          <w:color w:val="93BDB3" w:themeColor="accent6"/>
          <w:sz w:val="32"/>
          <w:szCs w:val="32"/>
        </w:rPr>
        <w:br/>
      </w:r>
      <w:r w:rsidRPr="004A5CF6">
        <w:rPr>
          <w:color w:val="009288" w:themeColor="background2"/>
          <w:sz w:val="32"/>
          <w:szCs w:val="32"/>
        </w:rPr>
        <w:t>Section 4 – Personnel</w:t>
      </w:r>
    </w:p>
    <w:p w14:paraId="4BB239C3" w14:textId="01045A51" w:rsidR="00561FB7" w:rsidRDefault="00561FB7" w:rsidP="00561FB7">
      <w:pPr>
        <w:rPr>
          <w:i/>
          <w:color w:val="FF0000"/>
        </w:rPr>
      </w:pPr>
      <w:r w:rsidRPr="004A5CF6">
        <w:rPr>
          <w:i/>
          <w:color w:val="D67467" w:themeColor="accent5"/>
        </w:rPr>
        <w:t xml:space="preserve">Section title – Personnel – and numbering cross reference to the August 2020 Board Assurance Statement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893234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118336" w14:textId="77777777" w:rsidR="00905822" w:rsidRPr="004A5CF6" w:rsidRDefault="00905822" w:rsidP="00905822">
          <w:pPr>
            <w:pStyle w:val="TOCHeading"/>
            <w:rPr>
              <w:color w:val="009288" w:themeColor="background2"/>
            </w:rPr>
          </w:pPr>
          <w:r w:rsidRPr="004A5CF6">
            <w:rPr>
              <w:color w:val="009288" w:themeColor="background2"/>
            </w:rPr>
            <w:t>Contents</w:t>
          </w:r>
        </w:p>
        <w:p w14:paraId="67978F1C" w14:textId="28AD0237" w:rsidR="0052645B" w:rsidRDefault="00905822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815739" w:history="1">
            <w:r w:rsidR="0052645B" w:rsidRPr="005F0C9F">
              <w:rPr>
                <w:rStyle w:val="Hyperlink"/>
                <w:b/>
                <w:noProof/>
              </w:rPr>
              <w:t xml:space="preserve">Safety Checking of the workforce 5 </w:t>
            </w:r>
            <w:r w:rsidR="008D12F1">
              <w:rPr>
                <w:rStyle w:val="Hyperlink"/>
                <w:b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_Toc62815739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2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3C5A17F6" w14:textId="3AFABDB0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0" w:history="1">
            <w:r w:rsidR="0052645B" w:rsidRPr="005F0C9F">
              <w:rPr>
                <w:rStyle w:val="Hyperlink"/>
                <w:b/>
                <w:noProof/>
              </w:rPr>
              <w:t xml:space="preserve">Ensuring teachers have practising certificates 7, 8 </w:t>
            </w:r>
            <w:r>
              <w:rPr>
                <w:rStyle w:val="Hyperlink"/>
                <w:b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_Toc62815740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4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67561CB2" w14:textId="37D51A29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1" w:history="1">
            <w:r w:rsidR="0052645B" w:rsidRPr="005F0C9F">
              <w:rPr>
                <w:rStyle w:val="Hyperlink"/>
                <w:b/>
                <w:noProof/>
              </w:rPr>
              <w:t xml:space="preserve">Mandatory reporting to the Teaching Council 10 </w:t>
            </w:r>
            <w:r>
              <w:rPr>
                <w:rStyle w:val="Hyperlink"/>
                <w:b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_Toc62815741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5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6D97BAD1" w14:textId="4FDCD548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2" w:history="1">
            <w:r w:rsidR="0052645B" w:rsidRPr="005F0C9F">
              <w:rPr>
                <w:rStyle w:val="Hyperlink"/>
                <w:b/>
                <w:noProof/>
              </w:rPr>
              <w:t xml:space="preserve">Police vetting of employees and contractors 9 </w:t>
            </w:r>
            <w:r>
              <w:rPr>
                <w:rStyle w:val="Hyperlink"/>
                <w:b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_Toc62815742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6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70E6E22D" w14:textId="215411A2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3" w:history="1">
            <w:r w:rsidR="0052645B" w:rsidRPr="005F0C9F">
              <w:rPr>
                <w:rStyle w:val="Hyperlink"/>
                <w:b/>
                <w:noProof/>
              </w:rPr>
              <w:t xml:space="preserve">Implementing human resource management practices 3 </w:t>
            </w:r>
            <w:r>
              <w:rPr>
                <w:rStyle w:val="Hyperlink"/>
                <w:b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_Toc62815743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7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647FDB18" w14:textId="73D9E062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4" w:history="1">
            <w:r w:rsidR="0052645B" w:rsidRPr="005F0C9F">
              <w:rPr>
                <w:rStyle w:val="Hyperlink"/>
                <w:noProof/>
              </w:rPr>
              <w:t xml:space="preserve">General personnel and industrial policies 1-2 </w:t>
            </w:r>
            <w:r>
              <w:rPr>
                <w:rStyle w:val="Hyperlink"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_Toc62815744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9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18052693" w14:textId="7D358B27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5" w:history="1">
            <w:r w:rsidR="0052645B" w:rsidRPr="005F0C9F">
              <w:rPr>
                <w:rStyle w:val="Hyperlink"/>
                <w:noProof/>
              </w:rPr>
              <w:t xml:space="preserve">The Principal’s annual appraisal 4 </w:t>
            </w:r>
            <w:r>
              <w:rPr>
                <w:rStyle w:val="Hyperlink"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_Toc62815745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9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18A59CBD" w14:textId="48E90678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6" w:history="1">
            <w:r w:rsidR="0052645B" w:rsidRPr="005F0C9F">
              <w:rPr>
                <w:rStyle w:val="Hyperlink"/>
                <w:noProof/>
              </w:rPr>
              <w:t xml:space="preserve">Protected Disclosures 11  </w:t>
            </w:r>
            <w:r>
              <w:rPr>
                <w:rStyle w:val="Hyperlink"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_Toc62815746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9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247AAF24" w14:textId="49C8BCB7" w:rsidR="0052645B" w:rsidRDefault="008D12F1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747" w:history="1">
            <w:r w:rsidR="0052645B" w:rsidRPr="005F0C9F">
              <w:rPr>
                <w:rStyle w:val="Hyperlink"/>
                <w:noProof/>
              </w:rPr>
              <w:t xml:space="preserve">Payroll records 6 </w:t>
            </w:r>
            <w:r>
              <w:rPr>
                <w:rStyle w:val="Hyperlink"/>
                <w:noProof/>
              </w:rPr>
              <w:t xml:space="preserve"> </w:t>
            </w:r>
            <w:r w:rsidR="0052645B">
              <w:rPr>
                <w:noProof/>
                <w:webHidden/>
              </w:rPr>
              <w:tab/>
            </w:r>
            <w:r w:rsidR="0052645B">
              <w:rPr>
                <w:noProof/>
                <w:webHidden/>
              </w:rPr>
              <w:fldChar w:fldCharType="begin"/>
            </w:r>
            <w:r w:rsidR="0052645B">
              <w:rPr>
                <w:noProof/>
                <w:webHidden/>
              </w:rPr>
              <w:instrText xml:space="preserve"> PAGEREF _Toc62815747 \h </w:instrText>
            </w:r>
            <w:r w:rsidR="0052645B">
              <w:rPr>
                <w:noProof/>
                <w:webHidden/>
              </w:rPr>
            </w:r>
            <w:r w:rsidR="0052645B">
              <w:rPr>
                <w:noProof/>
                <w:webHidden/>
              </w:rPr>
              <w:fldChar w:fldCharType="separate"/>
            </w:r>
            <w:r w:rsidR="0052645B">
              <w:rPr>
                <w:noProof/>
                <w:webHidden/>
              </w:rPr>
              <w:t>10</w:t>
            </w:r>
            <w:r w:rsidR="0052645B">
              <w:rPr>
                <w:noProof/>
                <w:webHidden/>
              </w:rPr>
              <w:fldChar w:fldCharType="end"/>
            </w:r>
          </w:hyperlink>
        </w:p>
        <w:p w14:paraId="00DE787C" w14:textId="664B08A5" w:rsidR="00905822" w:rsidRPr="00B35FCD" w:rsidRDefault="00905822" w:rsidP="00905822">
          <w:pPr>
            <w:rPr>
              <w:b/>
              <w:bCs/>
              <w:noProof/>
            </w:rPr>
            <w:sectPr w:rsidR="00905822" w:rsidRPr="00B35FCD" w:rsidSect="00905822">
              <w:headerReference w:type="default" r:id="rId12"/>
              <w:footerReference w:type="default" r:id="rId13"/>
              <w:pgSz w:w="16838" w:h="11906" w:orient="landscape"/>
              <w:pgMar w:top="1440" w:right="1440" w:bottom="1440" w:left="1440" w:header="708" w:footer="708" w:gutter="0"/>
              <w:cols w:space="708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DF223C8" w14:textId="2D53AB4B" w:rsidR="00B35FCD" w:rsidRDefault="00B35FCD" w:rsidP="00B35FCD"/>
    <w:p w14:paraId="732E4992" w14:textId="2302393F" w:rsidR="00B35FCD" w:rsidRPr="004A5CF6" w:rsidRDefault="00B35FCD" w:rsidP="004A5CF6">
      <w:pPr>
        <w:pStyle w:val="Heading1"/>
        <w:rPr>
          <w:b/>
          <w:color w:val="D67467" w:themeColor="accent5"/>
        </w:rPr>
      </w:pPr>
      <w:bookmarkStart w:id="0" w:name="_Toc62217835"/>
      <w:bookmarkStart w:id="1" w:name="_Toc62815739"/>
      <w:r w:rsidRPr="004A5CF6">
        <w:rPr>
          <w:b/>
          <w:color w:val="D67467" w:themeColor="accent5"/>
        </w:rPr>
        <w:t>Safety Checking of the workforce 5</w:t>
      </w:r>
      <w:bookmarkEnd w:id="0"/>
      <w:r w:rsidR="009E5BB6" w:rsidRPr="004A5CF6">
        <w:rPr>
          <w:b/>
          <w:color w:val="D67467" w:themeColor="accent5"/>
        </w:rPr>
        <w:t xml:space="preserve"> </w:t>
      </w:r>
      <w:r w:rsidR="008D12F1">
        <w:rPr>
          <w:b/>
          <w:color w:val="D67467" w:themeColor="accent5"/>
        </w:rPr>
        <w:t xml:space="preserve"> </w:t>
      </w:r>
      <w:bookmarkEnd w:id="1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7"/>
        <w:gridCol w:w="11345"/>
        <w:gridCol w:w="567"/>
        <w:gridCol w:w="567"/>
        <w:gridCol w:w="902"/>
      </w:tblGrid>
      <w:tr w:rsidR="00B35FCD" w:rsidRPr="004A5CF6" w14:paraId="5025E122" w14:textId="77777777" w:rsidTr="004A5CF6">
        <w:trPr>
          <w:tblHeader/>
        </w:trPr>
        <w:tc>
          <w:tcPr>
            <w:tcW w:w="11892" w:type="dxa"/>
            <w:gridSpan w:val="2"/>
            <w:shd w:val="clear" w:color="auto" w:fill="EEC7C2" w:themeFill="accent5" w:themeFillTint="66"/>
          </w:tcPr>
          <w:p w14:paraId="51C96B09" w14:textId="77777777" w:rsidR="00B35FCD" w:rsidRPr="004A5CF6" w:rsidRDefault="00B35FCD" w:rsidP="00F84D9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A5CF6">
              <w:rPr>
                <w:rFonts w:cstheme="minorHAnsi"/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67" w:type="dxa"/>
            <w:shd w:val="clear" w:color="auto" w:fill="EEC7C2" w:themeFill="accent5" w:themeFillTint="66"/>
          </w:tcPr>
          <w:p w14:paraId="371C21FF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EEC7C2" w:themeFill="accent5" w:themeFillTint="66"/>
          </w:tcPr>
          <w:p w14:paraId="4D50F26D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902" w:type="dxa"/>
            <w:shd w:val="clear" w:color="auto" w:fill="EEC7C2" w:themeFill="accent5" w:themeFillTint="66"/>
          </w:tcPr>
          <w:p w14:paraId="357121AE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bCs/>
                <w:sz w:val="20"/>
                <w:szCs w:val="20"/>
              </w:rPr>
              <w:t>Unsure</w:t>
            </w:r>
          </w:p>
        </w:tc>
      </w:tr>
      <w:tr w:rsidR="00B35FCD" w:rsidRPr="004A5CF6" w14:paraId="0202ADBB" w14:textId="77777777" w:rsidTr="004A5CF6">
        <w:trPr>
          <w:trHeight w:val="428"/>
        </w:trPr>
        <w:tc>
          <w:tcPr>
            <w:tcW w:w="547" w:type="dxa"/>
            <w:vMerge w:val="restart"/>
            <w:shd w:val="clear" w:color="auto" w:fill="F6E3E0" w:themeFill="accent5" w:themeFillTint="33"/>
          </w:tcPr>
          <w:p w14:paraId="583AB5C8" w14:textId="77777777" w:rsidR="00B35FCD" w:rsidRPr="004A5CF6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381" w:type="dxa"/>
            <w:gridSpan w:val="4"/>
            <w:shd w:val="clear" w:color="auto" w:fill="F6E3E0" w:themeFill="accent5" w:themeFillTint="33"/>
          </w:tcPr>
          <w:p w14:paraId="5F5CB117" w14:textId="77777777" w:rsidR="00B35FCD" w:rsidRPr="004A5CF6" w:rsidRDefault="00B35FCD" w:rsidP="00F84D90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4A5CF6">
              <w:rPr>
                <w:rFonts w:cstheme="minorHAnsi"/>
                <w:b/>
                <w:bCs/>
                <w:sz w:val="20"/>
                <w:szCs w:val="20"/>
              </w:rPr>
              <w:t>Children’s Act 2014 - Safety Checking of Workforce</w:t>
            </w:r>
          </w:p>
        </w:tc>
      </w:tr>
      <w:tr w:rsidR="00B35FCD" w:rsidRPr="004A5CF6" w14:paraId="0BCD3824" w14:textId="77777777" w:rsidTr="004A5CF6">
        <w:trPr>
          <w:trHeight w:val="427"/>
        </w:trPr>
        <w:tc>
          <w:tcPr>
            <w:tcW w:w="547" w:type="dxa"/>
            <w:vMerge/>
            <w:shd w:val="clear" w:color="auto" w:fill="F6E3E0" w:themeFill="accent5" w:themeFillTint="33"/>
          </w:tcPr>
          <w:p w14:paraId="3BCF8167" w14:textId="77777777" w:rsidR="00B35FCD" w:rsidRPr="004A5CF6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1" w:type="dxa"/>
            <w:gridSpan w:val="4"/>
            <w:shd w:val="clear" w:color="auto" w:fill="F6E3E0" w:themeFill="accent5" w:themeFillTint="33"/>
          </w:tcPr>
          <w:p w14:paraId="22A4152E" w14:textId="77777777" w:rsidR="00B35FCD" w:rsidRPr="004A5CF6" w:rsidRDefault="00B35FCD" w:rsidP="00F84D90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4A5CF6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Pr="004A5CF6">
              <w:rPr>
                <w:rFonts w:cstheme="minorHAnsi"/>
                <w:b/>
                <w:i/>
                <w:sz w:val="20"/>
                <w:szCs w:val="20"/>
              </w:rPr>
              <w:t>persons</w:t>
            </w:r>
            <w:r w:rsidRPr="004A5CF6">
              <w:rPr>
                <w:rFonts w:cstheme="minorHAnsi"/>
                <w:b/>
                <w:sz w:val="20"/>
                <w:szCs w:val="20"/>
              </w:rPr>
              <w:t xml:space="preserve"> that the Board employed or engaged as a paid </w:t>
            </w:r>
            <w:r w:rsidRPr="004A5CF6">
              <w:rPr>
                <w:rFonts w:cstheme="minorHAnsi"/>
                <w:b/>
                <w:i/>
                <w:sz w:val="20"/>
                <w:szCs w:val="20"/>
              </w:rPr>
              <w:t>children’s worker*</w:t>
            </w:r>
            <w:r w:rsidRPr="004A5CF6">
              <w:rPr>
                <w:rFonts w:cstheme="minorHAnsi"/>
                <w:b/>
                <w:sz w:val="20"/>
                <w:szCs w:val="20"/>
              </w:rPr>
              <w:t>, the following checks have been undertaken:</w:t>
            </w:r>
          </w:p>
        </w:tc>
      </w:tr>
      <w:tr w:rsidR="00B35FCD" w:rsidRPr="004A5CF6" w14:paraId="1A4076B4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5AEF79EB" w14:textId="77777777" w:rsidR="00B35FCD" w:rsidRPr="004A5CF6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1" w:type="dxa"/>
            <w:gridSpan w:val="4"/>
            <w:shd w:val="clear" w:color="auto" w:fill="F6E3E0" w:themeFill="accent5" w:themeFillTint="33"/>
          </w:tcPr>
          <w:p w14:paraId="30251918" w14:textId="0BAFC87A" w:rsidR="00B35FCD" w:rsidRPr="004A5CF6" w:rsidRDefault="00B35FCD" w:rsidP="00F84D90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4A5CF6">
              <w:rPr>
                <w:rFonts w:cstheme="minorHAnsi"/>
                <w:bCs/>
                <w:sz w:val="20"/>
                <w:szCs w:val="20"/>
              </w:rPr>
              <w:t>Identity Confirmation, either by</w:t>
            </w:r>
            <w:r w:rsidR="004A5CF6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B35FCD" w:rsidRPr="004A5CF6" w14:paraId="5E529275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361687B8" w14:textId="77777777" w:rsidR="00B35FCD" w:rsidRPr="004A5CF6" w:rsidRDefault="00B35FCD" w:rsidP="00F84D90">
            <w:pPr>
              <w:pStyle w:val="Header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5" w:type="dxa"/>
          </w:tcPr>
          <w:p w14:paraId="19617DC1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 xml:space="preserve">using an electronic identity credential to check that the identity is not claimed by someone else; </w:t>
            </w:r>
            <w:r w:rsidRPr="004A5CF6">
              <w:rPr>
                <w:rFonts w:cstheme="minorHAnsi"/>
                <w:sz w:val="20"/>
                <w:szCs w:val="20"/>
                <w:u w:val="single"/>
              </w:rPr>
              <w:t>or</w:t>
            </w:r>
          </w:p>
        </w:tc>
        <w:tc>
          <w:tcPr>
            <w:tcW w:w="567" w:type="dxa"/>
          </w:tcPr>
          <w:p w14:paraId="4C221BC5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90396B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5EF7AA71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48A61200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20C97171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6B11B4D8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checking an original primary identity document (</w:t>
            </w:r>
            <w:proofErr w:type="gramStart"/>
            <w:r w:rsidRPr="004A5CF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4A5CF6">
              <w:rPr>
                <w:rFonts w:cstheme="minorHAnsi"/>
                <w:sz w:val="20"/>
                <w:szCs w:val="20"/>
              </w:rPr>
              <w:t xml:space="preserve"> NZ passport); and</w:t>
            </w:r>
          </w:p>
        </w:tc>
        <w:tc>
          <w:tcPr>
            <w:tcW w:w="567" w:type="dxa"/>
          </w:tcPr>
          <w:p w14:paraId="2153B689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8E672F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193F81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41440371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260D778C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6DAFFEC3" w14:textId="77777777" w:rsidR="00B35FCD" w:rsidRPr="004A5CF6" w:rsidRDefault="00B35FCD" w:rsidP="00B35F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a secondary identity document (</w:t>
            </w:r>
            <w:proofErr w:type="gramStart"/>
            <w:r w:rsidRPr="004A5CF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4A5CF6">
              <w:rPr>
                <w:rFonts w:cstheme="minorHAnsi"/>
                <w:sz w:val="20"/>
                <w:szCs w:val="20"/>
              </w:rPr>
              <w:t xml:space="preserve"> NZ driver licence);</w:t>
            </w:r>
          </w:p>
        </w:tc>
        <w:tc>
          <w:tcPr>
            <w:tcW w:w="567" w:type="dxa"/>
          </w:tcPr>
          <w:p w14:paraId="13CD74EE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B8C20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720B9445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5D29755B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6944E0F0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12763DB1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bCs/>
                <w:sz w:val="20"/>
                <w:szCs w:val="20"/>
              </w:rPr>
              <w:t>[Note: if there are no photos of the person in the documents in (b), the board must require an identity referee to authenticate/verify identity of the staff. If the person’s name is different on a document in (b) the board must require a supporting name change document from the person];</w:t>
            </w:r>
          </w:p>
        </w:tc>
      </w:tr>
      <w:tr w:rsidR="00B35FCD" w:rsidRPr="004A5CF6" w14:paraId="069F63DC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1A881DE5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72EF9B00" w14:textId="77777777" w:rsidR="00B35FCD" w:rsidRPr="004A5CF6" w:rsidRDefault="00B35FCD" w:rsidP="00F84D90">
            <w:pPr>
              <w:pStyle w:val="Header"/>
              <w:widowControl w:val="0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ab/>
              <w:t>** searching the board’s personnel records to check whether the identity is being used or has been used by any person currently or previously employed/engaged by the board after the board has sighted the documents in (a) or (b) including the matters under ‘Note’ above.</w:t>
            </w:r>
          </w:p>
        </w:tc>
        <w:tc>
          <w:tcPr>
            <w:tcW w:w="567" w:type="dxa"/>
          </w:tcPr>
          <w:p w14:paraId="6D1A53C5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0CA7AD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4E895C1B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2455A51E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2BC69F8D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  <w:shd w:val="clear" w:color="auto" w:fill="F6E3E0" w:themeFill="accent5" w:themeFillTint="33"/>
          </w:tcPr>
          <w:p w14:paraId="7DE3B9A3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</w:rPr>
              <w:t>Criminal Convictions</w:t>
            </w:r>
          </w:p>
        </w:tc>
      </w:tr>
      <w:tr w:rsidR="00B35FCD" w:rsidRPr="004A5CF6" w14:paraId="090F1D2A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04AC2FF7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5CB8D5D2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obtaining and considering information from NZ Police vet</w:t>
            </w:r>
          </w:p>
        </w:tc>
        <w:tc>
          <w:tcPr>
            <w:tcW w:w="567" w:type="dxa"/>
          </w:tcPr>
          <w:p w14:paraId="39EFB0E2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618E8A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28A62611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057CD1D7" w14:textId="77777777" w:rsidTr="004A5CF6">
        <w:tc>
          <w:tcPr>
            <w:tcW w:w="547" w:type="dxa"/>
            <w:vMerge w:val="restart"/>
            <w:shd w:val="clear" w:color="auto" w:fill="F6E3E0" w:themeFill="accent5" w:themeFillTint="33"/>
          </w:tcPr>
          <w:p w14:paraId="23DE9692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2D432F5D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bCs/>
                <w:sz w:val="20"/>
                <w:szCs w:val="20"/>
              </w:rPr>
              <w:t>[Note: no need for Police vet if the person already had one in the last three years or person is a registered teacher]</w:t>
            </w:r>
          </w:p>
        </w:tc>
      </w:tr>
      <w:tr w:rsidR="00B35FCD" w:rsidRPr="004A5CF6" w14:paraId="0BBD5D81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208ACA6C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  <w:shd w:val="clear" w:color="auto" w:fill="F6E3E0" w:themeFill="accent5" w:themeFillTint="33"/>
          </w:tcPr>
          <w:p w14:paraId="0784563F" w14:textId="77777777" w:rsidR="00B35FCD" w:rsidRPr="004A5CF6" w:rsidRDefault="00B35FCD" w:rsidP="00F84D90">
            <w:pPr>
              <w:pStyle w:val="Header"/>
              <w:widowControl w:val="0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A5CF6">
              <w:rPr>
                <w:rFonts w:cstheme="minorHAnsi"/>
                <w:b/>
                <w:sz w:val="20"/>
                <w:szCs w:val="20"/>
              </w:rPr>
              <w:t>Other Information</w:t>
            </w:r>
          </w:p>
        </w:tc>
        <w:tc>
          <w:tcPr>
            <w:tcW w:w="567" w:type="dxa"/>
          </w:tcPr>
          <w:p w14:paraId="7AED6D86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FA831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7F3412AC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194823D8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7AB8D708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201E3E73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obtaining and considering a chronological summary of work history for preceding five years from the person; and</w:t>
            </w:r>
          </w:p>
        </w:tc>
        <w:tc>
          <w:tcPr>
            <w:tcW w:w="567" w:type="dxa"/>
          </w:tcPr>
          <w:p w14:paraId="434E9506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B7D974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001DFB8E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53BA8C3F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7F93E437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67A71CE0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whether person is registered with the Teaching Council, and if so, board has confirmed this with the Teaching Council;</w:t>
            </w:r>
          </w:p>
        </w:tc>
        <w:tc>
          <w:tcPr>
            <w:tcW w:w="567" w:type="dxa"/>
          </w:tcPr>
          <w:p w14:paraId="110BBC62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46AA83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54080BD3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0408FE57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36A32A9F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2CA6F885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obtaining and considering information from at least one referee (not related to the person or part of the extended family) and</w:t>
            </w:r>
          </w:p>
        </w:tc>
        <w:tc>
          <w:tcPr>
            <w:tcW w:w="567" w:type="dxa"/>
          </w:tcPr>
          <w:p w14:paraId="1C98C93B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C97C7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5D0781BC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34D91EBC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6811F870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1474E0AB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any other information the board considers relevant for risk assessment;</w:t>
            </w:r>
          </w:p>
        </w:tc>
        <w:tc>
          <w:tcPr>
            <w:tcW w:w="567" w:type="dxa"/>
          </w:tcPr>
          <w:p w14:paraId="62DBBCE3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EA3638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0E2ECF73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3FD1E969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087CCF5E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372BFE0C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interviewed the person, in person or by telephone or other communication technology;</w:t>
            </w:r>
          </w:p>
        </w:tc>
        <w:tc>
          <w:tcPr>
            <w:tcW w:w="567" w:type="dxa"/>
          </w:tcPr>
          <w:p w14:paraId="2DBDF557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79E26B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3DF01E94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78F76C58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72F42C38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1C5160B3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5CF6">
              <w:rPr>
                <w:rFonts w:asciiTheme="minorHAnsi" w:hAnsiTheme="minorHAnsi" w:cstheme="minorHAnsi"/>
                <w:sz w:val="20"/>
                <w:szCs w:val="20"/>
              </w:rPr>
              <w:t>[Note: the requirements in (e), (g</w:t>
            </w:r>
            <w:proofErr w:type="gramStart"/>
            <w:r w:rsidRPr="004A5CF6">
              <w:rPr>
                <w:rFonts w:asciiTheme="minorHAnsi" w:hAnsiTheme="minorHAnsi" w:cstheme="minorHAnsi"/>
                <w:sz w:val="20"/>
                <w:szCs w:val="20"/>
              </w:rPr>
              <w:t>),(</w:t>
            </w:r>
            <w:proofErr w:type="gramEnd"/>
            <w:r w:rsidRPr="004A5CF6">
              <w:rPr>
                <w:rFonts w:asciiTheme="minorHAnsi" w:hAnsiTheme="minorHAnsi" w:cstheme="minorHAnsi"/>
                <w:sz w:val="20"/>
                <w:szCs w:val="20"/>
              </w:rPr>
              <w:t>h) and (i) do not apply if the person is currently employed or engaged by the board in another role – write N/A in this case]</w:t>
            </w:r>
          </w:p>
        </w:tc>
      </w:tr>
      <w:tr w:rsidR="00B35FCD" w:rsidRPr="004A5CF6" w14:paraId="04AA73F0" w14:textId="77777777" w:rsidTr="00AE04D3">
        <w:tc>
          <w:tcPr>
            <w:tcW w:w="547" w:type="dxa"/>
            <w:vMerge/>
            <w:shd w:val="clear" w:color="auto" w:fill="F6E3E0" w:themeFill="accent5" w:themeFillTint="33"/>
          </w:tcPr>
          <w:p w14:paraId="47046A73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  <w:shd w:val="clear" w:color="auto" w:fill="F6E3E0" w:themeFill="accent5" w:themeFillTint="33"/>
          </w:tcPr>
          <w:p w14:paraId="0F7488A2" w14:textId="77777777" w:rsidR="00B35FCD" w:rsidRPr="00AE04D3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AE04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Assessment</w:t>
            </w:r>
          </w:p>
        </w:tc>
      </w:tr>
      <w:tr w:rsidR="00B35FCD" w:rsidRPr="004A5CF6" w14:paraId="120B46C0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1A2E83CC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5" w:type="dxa"/>
          </w:tcPr>
          <w:p w14:paraId="0582F923" w14:textId="77777777" w:rsidR="00B35FCD" w:rsidRPr="004A5CF6" w:rsidRDefault="00B35FCD" w:rsidP="00B35FCD">
            <w:pPr>
              <w:pStyle w:val="Header"/>
              <w:widowControl w:val="0"/>
              <w:numPr>
                <w:ilvl w:val="0"/>
                <w:numId w:val="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 xml:space="preserve">evaluation of all the information above to assess the risk the potential children’s worker would pose to the safety of children if employed or engaged, </w:t>
            </w:r>
            <w:proofErr w:type="gramStart"/>
            <w:r w:rsidRPr="004A5CF6">
              <w:rPr>
                <w:rFonts w:cstheme="minorHAnsi"/>
                <w:sz w:val="20"/>
                <w:szCs w:val="20"/>
              </w:rPr>
              <w:t>taking into account</w:t>
            </w:r>
            <w:proofErr w:type="gramEnd"/>
            <w:r w:rsidRPr="004A5CF6">
              <w:rPr>
                <w:rFonts w:cstheme="minorHAnsi"/>
                <w:sz w:val="20"/>
                <w:szCs w:val="20"/>
              </w:rPr>
              <w:t xml:space="preserve"> whether the role is a core children’s worker or non-core children’s worker.</w:t>
            </w:r>
          </w:p>
        </w:tc>
        <w:tc>
          <w:tcPr>
            <w:tcW w:w="567" w:type="dxa"/>
          </w:tcPr>
          <w:p w14:paraId="0C9C66E5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414FD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2" w:type="dxa"/>
          </w:tcPr>
          <w:p w14:paraId="6E4617C8" w14:textId="77777777" w:rsidR="00B35FCD" w:rsidRPr="004A5CF6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A5CF6" w14:paraId="3712EB6A" w14:textId="77777777" w:rsidTr="00AE04D3">
        <w:tc>
          <w:tcPr>
            <w:tcW w:w="547" w:type="dxa"/>
            <w:vMerge/>
            <w:shd w:val="clear" w:color="auto" w:fill="F6E3E0" w:themeFill="accent5" w:themeFillTint="33"/>
          </w:tcPr>
          <w:p w14:paraId="55A5E73A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  <w:shd w:val="clear" w:color="auto" w:fill="F6E3E0" w:themeFill="accent5" w:themeFillTint="33"/>
          </w:tcPr>
          <w:p w14:paraId="58A46DBE" w14:textId="412C8C5F" w:rsidR="00B35FCD" w:rsidRPr="00AE04D3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AE04D3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 w:rsidR="00AE04D3" w:rsidRPr="00AE04D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E04D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B35FCD" w:rsidRPr="004A5CF6" w14:paraId="612D9DC6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6BDE0FBB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410E6B0D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 xml:space="preserve">*Children’s workers who are </w:t>
            </w:r>
            <w:r w:rsidRPr="004A5CF6">
              <w:rPr>
                <w:rFonts w:cstheme="minorHAnsi"/>
                <w:i/>
                <w:sz w:val="20"/>
                <w:szCs w:val="20"/>
              </w:rPr>
              <w:t>core workers</w:t>
            </w:r>
            <w:r w:rsidRPr="004A5CF6">
              <w:rPr>
                <w:rFonts w:cstheme="minorHAnsi"/>
                <w:sz w:val="20"/>
                <w:szCs w:val="20"/>
              </w:rPr>
              <w:t xml:space="preserve"> work alone with or have primary responsibility or authority over children, </w:t>
            </w:r>
            <w:proofErr w:type="gramStart"/>
            <w:r w:rsidRPr="004A5CF6">
              <w:rPr>
                <w:rFonts w:cstheme="minorHAnsi"/>
                <w:sz w:val="20"/>
                <w:szCs w:val="20"/>
              </w:rPr>
              <w:t>eg</w:t>
            </w:r>
            <w:proofErr w:type="gramEnd"/>
            <w:r w:rsidRPr="004A5CF6">
              <w:rPr>
                <w:rFonts w:cstheme="minorHAnsi"/>
                <w:sz w:val="20"/>
                <w:szCs w:val="20"/>
              </w:rPr>
              <w:t xml:space="preserve"> teachers, teacher aides or support staff. Also applies to persons undertaking unpaid children’s work as part of educational or vocational training course. </w:t>
            </w:r>
          </w:p>
        </w:tc>
      </w:tr>
      <w:tr w:rsidR="00B35FCD" w:rsidRPr="004A5CF6" w14:paraId="32F0701B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2E0A9CC8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682D750D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** the purpose of paragraph (c) is to establish that the applicant is the sole claimant of the identity.</w:t>
            </w:r>
          </w:p>
        </w:tc>
      </w:tr>
      <w:tr w:rsidR="00B35FCD" w:rsidRPr="004A5CF6" w14:paraId="2F93ACE4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4D09835D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01017289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The above checks apply to all new core workers from 1 July 2015, and all new non-core workers from 1 July 2016 before commencing employment and are guidelines only.</w:t>
            </w:r>
          </w:p>
        </w:tc>
      </w:tr>
      <w:tr w:rsidR="00B35FCD" w:rsidRPr="004A5CF6" w14:paraId="1636DEB4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4F5C665E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26D00AB1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 xml:space="preserve">For details the board should refer to the relevant provisions of the Children’s Act 2014, and regulations 5 – 8 of the Children’s (Requirements for Safety Checks of Children’s Workers) Regulations 2015 – </w:t>
            </w:r>
            <w:hyperlink r:id="rId14" w:history="1">
              <w:r w:rsidRPr="004A5CF6">
                <w:rPr>
                  <w:rFonts w:cstheme="minorHAnsi"/>
                  <w:sz w:val="20"/>
                  <w:szCs w:val="20"/>
                </w:rPr>
                <w:t>www.legislation.govt.nz</w:t>
              </w:r>
            </w:hyperlink>
            <w:r w:rsidRPr="004A5C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5FCD" w:rsidRPr="004A5CF6" w14:paraId="1A983666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520A4DEC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705C28DA" w14:textId="77777777" w:rsidR="00B35FCD" w:rsidRPr="004A5CF6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 xml:space="preserve">For more information visit: </w:t>
            </w:r>
            <w:hyperlink r:id="rId15" w:history="1">
              <w:r w:rsidRPr="004A5CF6">
                <w:rPr>
                  <w:rStyle w:val="Hyperlink"/>
                  <w:rFonts w:cstheme="minorHAnsi"/>
                  <w:sz w:val="20"/>
                  <w:szCs w:val="20"/>
                </w:rPr>
                <w:t>www.childrensactionplan.govt.nz</w:t>
              </w:r>
            </w:hyperlink>
            <w:r w:rsidRPr="004A5CF6">
              <w:rPr>
                <w:rFonts w:cstheme="minorHAnsi"/>
                <w:sz w:val="20"/>
                <w:szCs w:val="20"/>
              </w:rPr>
              <w:t xml:space="preserve">, and </w:t>
            </w:r>
            <w:hyperlink r:id="rId16" w:tgtFrame="_blank" w:tooltip="Open external link" w:history="1">
              <w:r w:rsidRPr="004A5CF6">
                <w:rPr>
                  <w:rStyle w:val="Hyperlink"/>
                  <w:rFonts w:cstheme="minorHAnsi"/>
                  <w:sz w:val="20"/>
                  <w:szCs w:val="20"/>
                </w:rPr>
                <w:t>Children’s worker safety checking under the Children’s Act 2014 [PDF, 1.2 MB</w:t>
              </w:r>
            </w:hyperlink>
          </w:p>
        </w:tc>
      </w:tr>
      <w:tr w:rsidR="00B35FCD" w:rsidRPr="004A5CF6" w14:paraId="5A92DE98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5C6B9CA1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2764A175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 xml:space="preserve">Seek independent advice, </w:t>
            </w:r>
            <w:proofErr w:type="gramStart"/>
            <w:r w:rsidRPr="004A5CF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4A5CF6">
              <w:rPr>
                <w:rFonts w:cstheme="minorHAnsi"/>
                <w:sz w:val="20"/>
                <w:szCs w:val="20"/>
              </w:rPr>
              <w:t xml:space="preserve"> from NZSTA if you are uncertain.</w:t>
            </w:r>
          </w:p>
        </w:tc>
      </w:tr>
      <w:tr w:rsidR="00B35FCD" w:rsidRPr="004A5CF6" w14:paraId="6E15364A" w14:textId="77777777" w:rsidTr="004A5CF6">
        <w:tc>
          <w:tcPr>
            <w:tcW w:w="547" w:type="dxa"/>
            <w:vMerge/>
            <w:shd w:val="clear" w:color="auto" w:fill="F6E3E0" w:themeFill="accent5" w:themeFillTint="33"/>
          </w:tcPr>
          <w:p w14:paraId="4F7245EF" w14:textId="77777777" w:rsidR="00B35FCD" w:rsidRPr="004A5CF6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81" w:type="dxa"/>
            <w:gridSpan w:val="4"/>
          </w:tcPr>
          <w:p w14:paraId="6DF1BE0F" w14:textId="77777777" w:rsidR="00B35FCD" w:rsidRPr="004A5CF6" w:rsidRDefault="00B35FCD" w:rsidP="00B35FC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A5CF6">
              <w:rPr>
                <w:rFonts w:cstheme="minorHAnsi"/>
                <w:sz w:val="20"/>
                <w:szCs w:val="20"/>
              </w:rPr>
              <w:t>Keep accurate records about each aspect of the safety checking process, and have appropriate policies and procedures</w:t>
            </w:r>
          </w:p>
        </w:tc>
      </w:tr>
    </w:tbl>
    <w:p w14:paraId="3ED0A400" w14:textId="77777777" w:rsidR="00B35FCD" w:rsidRDefault="00B35FCD" w:rsidP="00B35FCD"/>
    <w:p w14:paraId="65307C39" w14:textId="7825F86F" w:rsidR="00B35FCD" w:rsidRPr="00AE04D3" w:rsidRDefault="00B35FCD" w:rsidP="00AE04D3">
      <w:pPr>
        <w:pStyle w:val="Heading1"/>
        <w:rPr>
          <w:b/>
          <w:color w:val="D67467" w:themeColor="accent5"/>
        </w:rPr>
      </w:pPr>
      <w:bookmarkStart w:id="2" w:name="_Toc62217836"/>
      <w:bookmarkStart w:id="3" w:name="_Toc62815740"/>
      <w:r w:rsidRPr="00AE04D3">
        <w:rPr>
          <w:b/>
          <w:color w:val="D67467" w:themeColor="accent5"/>
        </w:rPr>
        <w:lastRenderedPageBreak/>
        <w:t>Ensuring teachers have practising certificates 7, 8</w:t>
      </w:r>
      <w:bookmarkEnd w:id="2"/>
      <w:r w:rsidR="009E5BB6" w:rsidRPr="00AE04D3">
        <w:rPr>
          <w:b/>
          <w:color w:val="D67467" w:themeColor="accent5"/>
        </w:rPr>
        <w:t xml:space="preserve"> </w:t>
      </w:r>
      <w:r w:rsidR="008D12F1">
        <w:rPr>
          <w:b/>
          <w:color w:val="D67467" w:themeColor="accent5"/>
        </w:rPr>
        <w:t xml:space="preserve"> </w:t>
      </w:r>
      <w:bookmarkEnd w:id="3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488"/>
        <w:gridCol w:w="505"/>
        <w:gridCol w:w="543"/>
        <w:gridCol w:w="832"/>
      </w:tblGrid>
      <w:tr w:rsidR="00B35FCD" w:rsidRPr="00421FBC" w14:paraId="27AFB716" w14:textId="77777777" w:rsidTr="00AE04D3">
        <w:trPr>
          <w:tblHeader/>
        </w:trPr>
        <w:tc>
          <w:tcPr>
            <w:tcW w:w="12048" w:type="dxa"/>
            <w:gridSpan w:val="2"/>
            <w:shd w:val="clear" w:color="auto" w:fill="EEC7C2" w:themeFill="accent5" w:themeFillTint="66"/>
          </w:tcPr>
          <w:p w14:paraId="101A89F3" w14:textId="77777777" w:rsidR="00B35FCD" w:rsidRPr="00421FBC" w:rsidRDefault="00B35FCD" w:rsidP="00F84D90">
            <w:pPr>
              <w:spacing w:before="120" w:after="120"/>
              <w:rPr>
                <w:b/>
                <w:sz w:val="20"/>
                <w:szCs w:val="20"/>
              </w:rPr>
            </w:pPr>
            <w:r w:rsidRPr="00421FBC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5" w:type="dxa"/>
            <w:shd w:val="clear" w:color="auto" w:fill="EEC7C2" w:themeFill="accent5" w:themeFillTint="66"/>
          </w:tcPr>
          <w:p w14:paraId="652AF0B0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21FBC">
              <w:rPr>
                <w:rFonts w:asciiTheme="minorHAnsi" w:hAnsi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EEC7C2" w:themeFill="accent5" w:themeFillTint="66"/>
          </w:tcPr>
          <w:p w14:paraId="3B607FBB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21FBC">
              <w:rPr>
                <w:rFonts w:asciiTheme="minorHAnsi" w:hAnsiTheme="minorHAnsi"/>
                <w:bCs/>
                <w:sz w:val="20"/>
                <w:szCs w:val="20"/>
              </w:rPr>
              <w:t>No</w:t>
            </w:r>
          </w:p>
        </w:tc>
        <w:tc>
          <w:tcPr>
            <w:tcW w:w="832" w:type="dxa"/>
            <w:shd w:val="clear" w:color="auto" w:fill="EEC7C2" w:themeFill="accent5" w:themeFillTint="66"/>
          </w:tcPr>
          <w:p w14:paraId="00110314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21FBC">
              <w:rPr>
                <w:rFonts w:asciiTheme="minorHAnsi" w:hAnsiTheme="minorHAnsi"/>
                <w:bCs/>
                <w:sz w:val="20"/>
                <w:szCs w:val="20"/>
              </w:rPr>
              <w:t>Unsure</w:t>
            </w:r>
          </w:p>
        </w:tc>
      </w:tr>
      <w:tr w:rsidR="00B35FCD" w:rsidRPr="00421FBC" w14:paraId="0F4E87DD" w14:textId="77777777" w:rsidTr="00AE04D3">
        <w:tc>
          <w:tcPr>
            <w:tcW w:w="560" w:type="dxa"/>
            <w:shd w:val="clear" w:color="auto" w:fill="F6E3E0" w:themeFill="accent5" w:themeFillTint="33"/>
          </w:tcPr>
          <w:p w14:paraId="1B0F8FE7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421FBC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11488" w:type="dxa"/>
          </w:tcPr>
          <w:p w14:paraId="3F1047EA" w14:textId="77777777" w:rsidR="00B35FCD" w:rsidRPr="00421FBC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421FBC">
              <w:rPr>
                <w:rFonts w:asciiTheme="minorHAnsi" w:hAnsiTheme="minorHAnsi"/>
                <w:sz w:val="20"/>
              </w:rPr>
              <w:t xml:space="preserve">Ensured that persons without a practising certificate are not permanently appointed to a teaching position? </w:t>
            </w:r>
          </w:p>
          <w:p w14:paraId="6EA3C248" w14:textId="77777777" w:rsidR="00B35FCD" w:rsidRPr="00421FBC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421FBC">
              <w:rPr>
                <w:rFonts w:asciiTheme="minorHAnsi" w:hAnsiTheme="minorHAnsi"/>
                <w:sz w:val="20"/>
              </w:rPr>
              <w:t>[Section 92(2) Education and Training Act 2020].</w:t>
            </w:r>
          </w:p>
          <w:p w14:paraId="1B61420A" w14:textId="77777777" w:rsidR="00B35FCD" w:rsidRPr="00421FBC" w:rsidRDefault="008D12F1" w:rsidP="00F84D90">
            <w:pPr>
              <w:rPr>
                <w:color w:val="0000FF"/>
                <w:sz w:val="20"/>
                <w:szCs w:val="20"/>
                <w:lang w:eastAsia="en-NZ"/>
              </w:rPr>
            </w:pPr>
            <w:hyperlink r:id="rId17" w:history="1">
              <w:r w:rsidR="00B35FCD" w:rsidRPr="00421FBC">
                <w:rPr>
                  <w:color w:val="0000FF"/>
                  <w:sz w:val="20"/>
                  <w:szCs w:val="20"/>
                  <w:lang w:eastAsia="en-NZ"/>
                </w:rPr>
                <w:t>92</w:t>
              </w:r>
            </w:hyperlink>
            <w:r w:rsidR="00B35FCD" w:rsidRPr="00421FBC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18" w:history="1">
              <w:r w:rsidR="00B35FCD" w:rsidRPr="00421FBC">
                <w:rPr>
                  <w:color w:val="0000FF"/>
                  <w:sz w:val="20"/>
                  <w:szCs w:val="20"/>
                  <w:lang w:eastAsia="en-NZ"/>
                </w:rPr>
                <w:t>Restrictions on appointment of teachers</w:t>
              </w:r>
            </w:hyperlink>
          </w:p>
          <w:p w14:paraId="7D2F3319" w14:textId="77777777" w:rsidR="00B35FCD" w:rsidRPr="00421FBC" w:rsidRDefault="00B35FCD" w:rsidP="00F84D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5" w:type="dxa"/>
          </w:tcPr>
          <w:p w14:paraId="16C85280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E11BB43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949CD1D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21FBC" w14:paraId="16C0CF31" w14:textId="77777777" w:rsidTr="00AE04D3">
        <w:tc>
          <w:tcPr>
            <w:tcW w:w="560" w:type="dxa"/>
            <w:vMerge w:val="restart"/>
            <w:shd w:val="clear" w:color="auto" w:fill="F6E3E0" w:themeFill="accent5" w:themeFillTint="33"/>
          </w:tcPr>
          <w:p w14:paraId="52BED0D9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421FBC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1488" w:type="dxa"/>
            <w:shd w:val="clear" w:color="auto" w:fill="F6E3E0" w:themeFill="accent5" w:themeFillTint="33"/>
          </w:tcPr>
          <w:p w14:paraId="7D5EEB12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b/>
                <w:sz w:val="20"/>
                <w:lang w:val="en-US"/>
              </w:rPr>
            </w:pPr>
            <w:r w:rsidRPr="00421FBC">
              <w:rPr>
                <w:rFonts w:asciiTheme="minorHAnsi" w:hAnsiTheme="minorHAnsi"/>
                <w:b/>
                <w:sz w:val="20"/>
              </w:rPr>
              <w:t>Ensured that it does not continue to employ in any teaching position, any person—</w:t>
            </w:r>
          </w:p>
        </w:tc>
        <w:tc>
          <w:tcPr>
            <w:tcW w:w="505" w:type="dxa"/>
          </w:tcPr>
          <w:p w14:paraId="3D6D145D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CB31352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CF8FAF8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21FBC" w14:paraId="69A5DEE3" w14:textId="77777777" w:rsidTr="00AE04D3">
        <w:tc>
          <w:tcPr>
            <w:tcW w:w="560" w:type="dxa"/>
            <w:vMerge/>
            <w:shd w:val="clear" w:color="auto" w:fill="F6E3E0" w:themeFill="accent5" w:themeFillTint="33"/>
          </w:tcPr>
          <w:p w14:paraId="7DD94F22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</w:tcPr>
          <w:p w14:paraId="14BDBE5F" w14:textId="77777777" w:rsidR="00B35FCD" w:rsidRPr="00421FBC" w:rsidRDefault="00B35FCD" w:rsidP="00B35FCD">
            <w:pPr>
              <w:pStyle w:val="Tex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0"/>
              </w:rPr>
            </w:pPr>
            <w:r w:rsidRPr="00421FBC">
              <w:rPr>
                <w:rFonts w:asciiTheme="minorHAnsi" w:hAnsiTheme="minorHAnsi"/>
                <w:sz w:val="20"/>
                <w:lang w:val="en-US"/>
              </w:rPr>
              <w:t>whose registration as a teacher has been cancelled, and who has not since been registered as a teacher again; or</w:t>
            </w:r>
          </w:p>
        </w:tc>
        <w:tc>
          <w:tcPr>
            <w:tcW w:w="505" w:type="dxa"/>
          </w:tcPr>
          <w:p w14:paraId="4E3CEF18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2AD487C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CC26B94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21FBC" w14:paraId="03D8975E" w14:textId="77777777" w:rsidTr="00AE04D3">
        <w:tc>
          <w:tcPr>
            <w:tcW w:w="560" w:type="dxa"/>
            <w:vMerge/>
            <w:shd w:val="clear" w:color="auto" w:fill="F6E3E0" w:themeFill="accent5" w:themeFillTint="33"/>
          </w:tcPr>
          <w:p w14:paraId="1B64874E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</w:tcPr>
          <w:p w14:paraId="7AA770D5" w14:textId="77777777" w:rsidR="00B35FCD" w:rsidRPr="00421FBC" w:rsidRDefault="00B35FCD" w:rsidP="00B35FCD">
            <w:pPr>
              <w:pStyle w:val="Tex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/>
                <w:sz w:val="20"/>
                <w:lang w:val="en-US"/>
              </w:rPr>
            </w:pPr>
            <w:r w:rsidRPr="00421FBC">
              <w:rPr>
                <w:rFonts w:asciiTheme="minorHAnsi" w:hAnsiTheme="minorHAnsi"/>
                <w:sz w:val="20"/>
                <w:lang w:val="en-US"/>
              </w:rPr>
              <w:t xml:space="preserve">whose LAT has been cancelled, and who has not since been granted an </w:t>
            </w:r>
            <w:proofErr w:type="spellStart"/>
            <w:r w:rsidRPr="00421FBC">
              <w:rPr>
                <w:rFonts w:asciiTheme="minorHAnsi" w:hAnsiTheme="minorHAnsi"/>
                <w:sz w:val="20"/>
                <w:lang w:val="en-US"/>
              </w:rPr>
              <w:t>authorisation</w:t>
            </w:r>
            <w:proofErr w:type="spellEnd"/>
            <w:r w:rsidRPr="00421FBC">
              <w:rPr>
                <w:rFonts w:asciiTheme="minorHAnsi" w:hAnsiTheme="minorHAnsi"/>
                <w:sz w:val="20"/>
                <w:lang w:val="en-US"/>
              </w:rPr>
              <w:t xml:space="preserve"> again or registered as a teacher; or</w:t>
            </w:r>
          </w:p>
        </w:tc>
        <w:tc>
          <w:tcPr>
            <w:tcW w:w="505" w:type="dxa"/>
          </w:tcPr>
          <w:p w14:paraId="04A08FBF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EB74950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8843B01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21FBC" w14:paraId="182CBA06" w14:textId="77777777" w:rsidTr="00AE04D3">
        <w:tc>
          <w:tcPr>
            <w:tcW w:w="560" w:type="dxa"/>
            <w:vMerge/>
            <w:shd w:val="clear" w:color="auto" w:fill="F6E3E0" w:themeFill="accent5" w:themeFillTint="33"/>
          </w:tcPr>
          <w:p w14:paraId="2733AA52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</w:tcPr>
          <w:p w14:paraId="0419D5F9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  <w:lang w:val="en-US"/>
              </w:rPr>
            </w:pPr>
            <w:r w:rsidRPr="00421FBC">
              <w:rPr>
                <w:rFonts w:asciiTheme="minorHAnsi" w:hAnsiTheme="minorHAnsi"/>
                <w:sz w:val="20"/>
                <w:lang w:val="en-US"/>
              </w:rPr>
              <w:t xml:space="preserve">whose </w:t>
            </w:r>
            <w:proofErr w:type="spellStart"/>
            <w:r w:rsidRPr="00421FBC">
              <w:rPr>
                <w:rFonts w:asciiTheme="minorHAnsi" w:hAnsiTheme="minorHAnsi"/>
                <w:sz w:val="20"/>
                <w:lang w:val="en-US"/>
              </w:rPr>
              <w:t>practising</w:t>
            </w:r>
            <w:proofErr w:type="spellEnd"/>
            <w:r w:rsidRPr="00421FBC">
              <w:rPr>
                <w:rFonts w:asciiTheme="minorHAnsi" w:hAnsiTheme="minorHAnsi"/>
                <w:sz w:val="20"/>
                <w:lang w:val="en-US"/>
              </w:rPr>
              <w:t xml:space="preserve"> certificate or LAT is suspended by the Disciplinary Tribunal?</w:t>
            </w:r>
          </w:p>
        </w:tc>
        <w:tc>
          <w:tcPr>
            <w:tcW w:w="505" w:type="dxa"/>
          </w:tcPr>
          <w:p w14:paraId="6E325E30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D544223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47A055E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35FCD" w:rsidRPr="00421FBC" w14:paraId="38541D14" w14:textId="77777777" w:rsidTr="00AE04D3">
        <w:tc>
          <w:tcPr>
            <w:tcW w:w="560" w:type="dxa"/>
            <w:vMerge/>
            <w:shd w:val="clear" w:color="auto" w:fill="F6E3E0" w:themeFill="accent5" w:themeFillTint="33"/>
          </w:tcPr>
          <w:p w14:paraId="06E9279D" w14:textId="77777777" w:rsidR="00B35FCD" w:rsidRPr="00421FB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368" w:type="dxa"/>
            <w:gridSpan w:val="4"/>
          </w:tcPr>
          <w:p w14:paraId="39A164B0" w14:textId="77777777" w:rsidR="00B35FCD" w:rsidRPr="00421FBC" w:rsidRDefault="00B35FCD" w:rsidP="00F84D90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421FBC">
              <w:rPr>
                <w:sz w:val="20"/>
                <w:szCs w:val="20"/>
                <w:lang w:val="en-US"/>
              </w:rPr>
              <w:t>[</w:t>
            </w:r>
            <w:r w:rsidRPr="00421FBC">
              <w:rPr>
                <w:i/>
                <w:sz w:val="20"/>
                <w:szCs w:val="20"/>
                <w:lang w:val="en-US"/>
              </w:rPr>
              <w:t>Reference section 93(1) Education and Training Act 2020</w:t>
            </w:r>
            <w:r w:rsidRPr="00421FBC">
              <w:rPr>
                <w:sz w:val="20"/>
                <w:szCs w:val="20"/>
                <w:lang w:val="en-US"/>
              </w:rPr>
              <w:t>].</w:t>
            </w:r>
          </w:p>
          <w:p w14:paraId="7FA085AE" w14:textId="77777777" w:rsidR="00B35FCD" w:rsidRPr="00421FBC" w:rsidRDefault="008D12F1" w:rsidP="00F84D90">
            <w:pPr>
              <w:rPr>
                <w:color w:val="0000FF"/>
                <w:sz w:val="20"/>
                <w:szCs w:val="20"/>
                <w:lang w:eastAsia="en-NZ"/>
              </w:rPr>
            </w:pPr>
            <w:hyperlink r:id="rId19" w:history="1">
              <w:r w:rsidR="00B35FCD" w:rsidRPr="00421FBC">
                <w:rPr>
                  <w:color w:val="0000FF"/>
                  <w:sz w:val="20"/>
                  <w:szCs w:val="20"/>
                  <w:lang w:eastAsia="en-NZ"/>
                </w:rPr>
                <w:t>93</w:t>
              </w:r>
            </w:hyperlink>
            <w:r w:rsidR="00B35FCD" w:rsidRPr="00421FBC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20" w:history="1">
              <w:r w:rsidR="00B35FCD" w:rsidRPr="00421FBC">
                <w:rPr>
                  <w:color w:val="0000FF"/>
                  <w:sz w:val="20"/>
                  <w:szCs w:val="20"/>
                  <w:lang w:eastAsia="en-NZ"/>
                </w:rPr>
                <w:t>Restrictions on continued employment of teachers</w:t>
              </w:r>
            </w:hyperlink>
          </w:p>
          <w:p w14:paraId="4C356AEE" w14:textId="77777777" w:rsidR="00B35FCD" w:rsidRPr="00421FBC" w:rsidRDefault="00B35FCD" w:rsidP="00F84D9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0DEC6255" w14:textId="77777777" w:rsidR="00B35FCD" w:rsidRDefault="00B35FCD" w:rsidP="00B35FCD">
      <w:pPr>
        <w:pStyle w:val="Heading2"/>
        <w:sectPr w:rsidR="00B35FCD" w:rsidSect="00DB5F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851718" w14:textId="5672F6BD" w:rsidR="00B35FCD" w:rsidRPr="00421FBC" w:rsidRDefault="00B35FCD" w:rsidP="00421FBC">
      <w:pPr>
        <w:pStyle w:val="Heading1"/>
        <w:rPr>
          <w:b/>
          <w:color w:val="D67467" w:themeColor="accent5"/>
        </w:rPr>
      </w:pPr>
      <w:bookmarkStart w:id="4" w:name="_Toc62217837"/>
      <w:bookmarkStart w:id="5" w:name="_Toc62815741"/>
      <w:r w:rsidRPr="00421FBC">
        <w:rPr>
          <w:b/>
          <w:color w:val="D67467" w:themeColor="accent5"/>
        </w:rPr>
        <w:lastRenderedPageBreak/>
        <w:t>Mandatory reporting to the Teaching Council 10</w:t>
      </w:r>
      <w:bookmarkEnd w:id="4"/>
      <w:r w:rsidR="009E5BB6" w:rsidRPr="00421FBC">
        <w:rPr>
          <w:b/>
          <w:color w:val="D67467" w:themeColor="accent5"/>
        </w:rPr>
        <w:t xml:space="preserve"> </w:t>
      </w:r>
      <w:r w:rsidR="008D12F1">
        <w:rPr>
          <w:b/>
          <w:color w:val="D67467" w:themeColor="accent5"/>
        </w:rPr>
        <w:t xml:space="preserve"> 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11488"/>
        <w:gridCol w:w="505"/>
        <w:gridCol w:w="543"/>
        <w:gridCol w:w="832"/>
      </w:tblGrid>
      <w:tr w:rsidR="00B35FCD" w:rsidRPr="001A1C3E" w14:paraId="04E98D17" w14:textId="77777777" w:rsidTr="00421FBC">
        <w:trPr>
          <w:tblHeader/>
        </w:trPr>
        <w:tc>
          <w:tcPr>
            <w:tcW w:w="12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4CD3C0BF" w14:textId="77777777" w:rsidR="00B35FCD" w:rsidRPr="00421FBC" w:rsidRDefault="00B35FCD" w:rsidP="00F84D90">
            <w:pPr>
              <w:spacing w:before="120" w:after="120"/>
              <w:rPr>
                <w:b/>
                <w:sz w:val="20"/>
                <w:szCs w:val="20"/>
              </w:rPr>
            </w:pPr>
            <w:r w:rsidRPr="00421FBC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72962EBC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21FBC">
              <w:rPr>
                <w:rFonts w:asciiTheme="minorHAnsi" w:hAnsiTheme="minorHAnsi"/>
                <w:bCs/>
                <w:i w:val="0"/>
              </w:rPr>
              <w:t>Yes</w:t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068BC9DA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21FBC">
              <w:rPr>
                <w:rFonts w:asciiTheme="minorHAnsi" w:hAnsiTheme="minorHAnsi"/>
                <w:bCs/>
                <w:i w:val="0"/>
              </w:rPr>
              <w:t>No</w:t>
            </w:r>
          </w:p>
        </w:tc>
        <w:tc>
          <w:tcPr>
            <w:tcW w:w="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C7C2" w:themeFill="accent5" w:themeFillTint="66"/>
          </w:tcPr>
          <w:p w14:paraId="3BCB64DF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21FBC">
              <w:rPr>
                <w:rFonts w:asciiTheme="minorHAnsi" w:hAnsiTheme="minorHAnsi"/>
                <w:bCs/>
                <w:i w:val="0"/>
              </w:rPr>
              <w:t>Unsure</w:t>
            </w:r>
          </w:p>
        </w:tc>
      </w:tr>
      <w:tr w:rsidR="00B35FCD" w:rsidRPr="001A1C3E" w14:paraId="1C085807" w14:textId="77777777" w:rsidTr="00421FBC">
        <w:tc>
          <w:tcPr>
            <w:tcW w:w="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ED6692D" w14:textId="77777777" w:rsidR="00B35FCD" w:rsidRPr="001A1C3E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3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528D9134" w14:textId="77777777" w:rsidR="00B35FCD" w:rsidRPr="00D271FC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71FC">
              <w:rPr>
                <w:rFonts w:asciiTheme="minorHAnsi" w:hAnsiTheme="minorHAnsi"/>
                <w:b/>
                <w:sz w:val="20"/>
              </w:rPr>
              <w:t xml:space="preserve">As employer, reported to the Teaching Council in compliance with the mandatory reporting requirements under the Education Act 1989 in the following situations: </w:t>
            </w:r>
            <w:r w:rsidRPr="00D271FC">
              <w:rPr>
                <w:rFonts w:asciiTheme="minorHAnsi" w:hAnsiTheme="minorHAnsi"/>
                <w:b/>
                <w:i/>
                <w:iCs/>
                <w:sz w:val="20"/>
              </w:rPr>
              <w:t>[Write N/A if not applicable].</w:t>
            </w:r>
          </w:p>
        </w:tc>
      </w:tr>
      <w:tr w:rsidR="00B35FCD" w:rsidRPr="001A1C3E" w14:paraId="21BA5A0D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725B9BF" w14:textId="77777777" w:rsidR="00B35FCD" w:rsidRPr="001A1C3E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8683" w14:textId="77777777" w:rsidR="00B35FCD" w:rsidRPr="001A1C3E" w:rsidRDefault="00B35FCD" w:rsidP="00F84D90">
            <w:pPr>
              <w:pStyle w:val="Text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when a teacher has been dismissed for any reason (section 489)?</w:t>
            </w:r>
          </w:p>
          <w:p w14:paraId="185C3D4A" w14:textId="77777777" w:rsidR="00B35FCD" w:rsidRPr="001A1C3E" w:rsidRDefault="008D12F1" w:rsidP="00F84D90">
            <w:pPr>
              <w:rPr>
                <w:color w:val="0000FF"/>
                <w:sz w:val="20"/>
                <w:szCs w:val="20"/>
                <w:lang w:eastAsia="en-NZ"/>
              </w:rPr>
            </w:pPr>
            <w:hyperlink r:id="rId21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489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22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Mandatory reporting of dismissals and resignations</w:t>
              </w:r>
            </w:hyperlink>
          </w:p>
          <w:p w14:paraId="25A7F05D" w14:textId="77777777" w:rsidR="00B35FCD" w:rsidRPr="001A1C3E" w:rsidRDefault="00B35FCD" w:rsidP="00F84D9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E745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007C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544A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</w:tr>
      <w:tr w:rsidR="00B35FCD" w:rsidRPr="001A1C3E" w14:paraId="143804F3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51D5CEC" w14:textId="77777777" w:rsidR="00B35FCD" w:rsidRPr="001A1C3E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860D" w14:textId="77777777" w:rsidR="00B35FCD" w:rsidRPr="001A1C3E" w:rsidRDefault="00B35FCD" w:rsidP="00F84D90">
            <w:pPr>
              <w:pStyle w:val="Text"/>
              <w:numPr>
                <w:ilvl w:val="0"/>
                <w:numId w:val="11"/>
              </w:numPr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If, within the 12 months before a teacher’s resignation (including a fixed-term position) or expiry of the teacher’s fixed-term contract, the board had advised the teacher that it was dissatisfied with, or intended to investigate, any aspect of the teacher’s conduct or teacher’s competence (section 489)?</w:t>
            </w:r>
          </w:p>
          <w:p w14:paraId="745D8307" w14:textId="77777777" w:rsidR="00B35FCD" w:rsidRPr="001A1C3E" w:rsidRDefault="008D12F1" w:rsidP="00F84D90">
            <w:pPr>
              <w:rPr>
                <w:sz w:val="20"/>
                <w:szCs w:val="20"/>
              </w:rPr>
            </w:pPr>
            <w:hyperlink r:id="rId23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489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24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Mandatory reporting of dismissals and resignations</w:t>
              </w:r>
            </w:hyperlink>
          </w:p>
          <w:p w14:paraId="4278895F" w14:textId="77777777" w:rsidR="00B35FCD" w:rsidRPr="001A1C3E" w:rsidRDefault="00B35FCD" w:rsidP="00F84D90">
            <w:pPr>
              <w:pStyle w:val="Text"/>
              <w:spacing w:before="120" w:after="120"/>
              <w:ind w:left="397"/>
              <w:rPr>
                <w:rFonts w:asciiTheme="minorHAnsi" w:hAnsiTheme="minorHAnsi"/>
                <w:sz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D5A8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6732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C8D9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</w:tr>
      <w:tr w:rsidR="00B35FCD" w:rsidRPr="001A1C3E" w14:paraId="58FA4024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4422A921" w14:textId="77777777" w:rsidR="00B35FCD" w:rsidRPr="001A1C3E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4271" w14:textId="77777777" w:rsidR="00B35FCD" w:rsidRPr="001A1C3E" w:rsidRDefault="00B35FCD" w:rsidP="00F84D90">
            <w:pPr>
              <w:pStyle w:val="Text"/>
              <w:numPr>
                <w:ilvl w:val="0"/>
                <w:numId w:val="11"/>
              </w:numPr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the board receives a complaint about the teacher’s conduct or competence while he/she was an employee within 12 months of after the teacher ceases to be employed (section 490)?</w:t>
            </w:r>
          </w:p>
          <w:p w14:paraId="4464884C" w14:textId="77777777" w:rsidR="00B35FCD" w:rsidRPr="001A1C3E" w:rsidRDefault="008D12F1" w:rsidP="00F84D90">
            <w:pPr>
              <w:rPr>
                <w:color w:val="0000FF"/>
                <w:sz w:val="20"/>
                <w:szCs w:val="20"/>
                <w:lang w:eastAsia="en-NZ"/>
              </w:rPr>
            </w:pPr>
            <w:hyperlink r:id="rId25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490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26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Mandatory reporting of complaints received about former employees</w:t>
              </w:r>
            </w:hyperlink>
          </w:p>
          <w:p w14:paraId="5FCD9BA2" w14:textId="77777777" w:rsidR="00B35FCD" w:rsidRPr="001A1C3E" w:rsidRDefault="00B35FCD" w:rsidP="00F84D9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7ADA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F7B4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8DA1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</w:tr>
      <w:tr w:rsidR="00B35FCD" w:rsidRPr="001A1C3E" w14:paraId="40C5EA35" w14:textId="77777777" w:rsidTr="00421FBC">
        <w:trPr>
          <w:trHeight w:val="923"/>
        </w:trPr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137B7913" w14:textId="77777777" w:rsidR="00B35FCD" w:rsidRPr="001A1C3E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E09922" w14:textId="77777777" w:rsidR="00B35FCD" w:rsidRPr="001A1C3E" w:rsidRDefault="00B35FCD" w:rsidP="00F84D90">
            <w:pPr>
              <w:pStyle w:val="Text"/>
              <w:numPr>
                <w:ilvl w:val="0"/>
                <w:numId w:val="11"/>
              </w:numPr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the board has reason to believe that the teacher has engaged in serious misconduct (section 491)?</w:t>
            </w:r>
          </w:p>
          <w:p w14:paraId="7D5F6EE9" w14:textId="77777777" w:rsidR="00B35FCD" w:rsidRPr="001A1C3E" w:rsidRDefault="008D12F1" w:rsidP="00F84D90">
            <w:pPr>
              <w:rPr>
                <w:color w:val="0000FF"/>
                <w:sz w:val="20"/>
                <w:szCs w:val="20"/>
                <w:lang w:eastAsia="en-NZ"/>
              </w:rPr>
            </w:pPr>
            <w:hyperlink r:id="rId27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491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28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Mandatory reporting of possible serious misconduct</w:t>
              </w:r>
            </w:hyperlink>
          </w:p>
          <w:p w14:paraId="512EDE60" w14:textId="77777777" w:rsidR="00B35FCD" w:rsidRPr="001A1C3E" w:rsidRDefault="00B35FCD" w:rsidP="00F84D9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15F1DA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FE06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7D3779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</w:tr>
      <w:tr w:rsidR="00B35FCD" w:rsidRPr="001A1C3E" w14:paraId="70D6C66A" w14:textId="77777777" w:rsidTr="00421FBC">
        <w:trPr>
          <w:trHeight w:val="1052"/>
        </w:trPr>
        <w:tc>
          <w:tcPr>
            <w:tcW w:w="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3B6D783" w14:textId="77777777" w:rsidR="00B35FCD" w:rsidRPr="001A1C3E" w:rsidRDefault="00B35FCD" w:rsidP="00F84D90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716B" w14:textId="77777777" w:rsidR="00B35FCD" w:rsidRPr="001A1C3E" w:rsidRDefault="00B35FCD" w:rsidP="00F84D90">
            <w:pPr>
              <w:pStyle w:val="Text"/>
              <w:numPr>
                <w:ilvl w:val="0"/>
                <w:numId w:val="11"/>
              </w:numPr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 xml:space="preserve">the board is satisfied that despite undertaking competency procedures with the teacher, the teacher has not reached the required level of </w:t>
            </w:r>
            <w:proofErr w:type="gramStart"/>
            <w:r w:rsidRPr="001A1C3E">
              <w:rPr>
                <w:rFonts w:asciiTheme="minorHAnsi" w:hAnsiTheme="minorHAnsi"/>
                <w:sz w:val="20"/>
              </w:rPr>
              <w:t>competence  (</w:t>
            </w:r>
            <w:proofErr w:type="gramEnd"/>
            <w:r w:rsidRPr="001A1C3E">
              <w:rPr>
                <w:rFonts w:asciiTheme="minorHAnsi" w:hAnsiTheme="minorHAnsi"/>
                <w:sz w:val="20"/>
              </w:rPr>
              <w:t>section 492)?</w:t>
            </w:r>
          </w:p>
          <w:p w14:paraId="12E9CB86" w14:textId="77777777" w:rsidR="00B35FCD" w:rsidRPr="001A1C3E" w:rsidRDefault="008D12F1" w:rsidP="00F84D90">
            <w:pPr>
              <w:rPr>
                <w:color w:val="0000FF"/>
                <w:sz w:val="20"/>
                <w:szCs w:val="20"/>
                <w:lang w:eastAsia="en-NZ"/>
              </w:rPr>
            </w:pPr>
            <w:hyperlink r:id="rId29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492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30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Mandatory reporting of failure to reach required level of competence</w:t>
              </w:r>
            </w:hyperlink>
          </w:p>
          <w:p w14:paraId="2E318941" w14:textId="77777777" w:rsidR="00B35FCD" w:rsidRPr="001A1C3E" w:rsidRDefault="00B35FCD" w:rsidP="00F84D90">
            <w:pPr>
              <w:rPr>
                <w:color w:val="0000FF"/>
                <w:sz w:val="20"/>
                <w:szCs w:val="20"/>
                <w:lang w:eastAsia="en-NZ"/>
              </w:rPr>
            </w:pPr>
          </w:p>
          <w:p w14:paraId="3D6B5795" w14:textId="77777777" w:rsidR="00B35FCD" w:rsidRPr="001A1C3E" w:rsidRDefault="00B35FCD" w:rsidP="00F84D9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C838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E510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4CB0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</w:p>
        </w:tc>
      </w:tr>
    </w:tbl>
    <w:p w14:paraId="7A86BF79" w14:textId="4957DACE" w:rsidR="00B35FCD" w:rsidRPr="00421FBC" w:rsidRDefault="00B35FCD" w:rsidP="00421FBC">
      <w:pPr>
        <w:pStyle w:val="Heading1"/>
        <w:rPr>
          <w:b/>
          <w:color w:val="D67467" w:themeColor="accent5"/>
        </w:rPr>
      </w:pPr>
      <w:bookmarkStart w:id="6" w:name="_Toc62217838"/>
      <w:bookmarkStart w:id="7" w:name="_Toc62815742"/>
      <w:r w:rsidRPr="00421FBC">
        <w:rPr>
          <w:b/>
          <w:color w:val="D67467" w:themeColor="accent5"/>
        </w:rPr>
        <w:lastRenderedPageBreak/>
        <w:t>Police vetting of employees and contractors 9</w:t>
      </w:r>
      <w:bookmarkEnd w:id="6"/>
      <w:r w:rsidR="009E5BB6" w:rsidRPr="00421FBC">
        <w:rPr>
          <w:b/>
          <w:color w:val="D67467" w:themeColor="accent5"/>
        </w:rPr>
        <w:t xml:space="preserve"> </w:t>
      </w:r>
      <w:r w:rsidR="008D12F1">
        <w:rPr>
          <w:b/>
          <w:color w:val="D67467" w:themeColor="accent5"/>
        </w:rPr>
        <w:t xml:space="preserve"> </w:t>
      </w:r>
      <w:bookmarkEnd w:id="7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11488"/>
        <w:gridCol w:w="505"/>
        <w:gridCol w:w="543"/>
        <w:gridCol w:w="832"/>
      </w:tblGrid>
      <w:tr w:rsidR="00B35FCD" w:rsidRPr="001A1C3E" w14:paraId="5D31E096" w14:textId="77777777" w:rsidTr="00421FBC">
        <w:trPr>
          <w:tblHeader/>
        </w:trPr>
        <w:tc>
          <w:tcPr>
            <w:tcW w:w="12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1E6C859C" w14:textId="77777777" w:rsidR="00B35FCD" w:rsidRPr="001A1C3E" w:rsidRDefault="00B35FCD" w:rsidP="00F84D90">
            <w:pPr>
              <w:spacing w:before="120" w:after="120"/>
              <w:rPr>
                <w:b/>
                <w:sz w:val="20"/>
                <w:szCs w:val="20"/>
              </w:rPr>
            </w:pPr>
            <w:r w:rsidRPr="001A1C3E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444E86DE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1A1C3E">
              <w:rPr>
                <w:rFonts w:asciiTheme="minorHAnsi" w:hAnsiTheme="minorHAnsi"/>
                <w:bCs/>
              </w:rPr>
              <w:t>Yes</w:t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1398BA48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1A1C3E">
              <w:rPr>
                <w:rFonts w:asciiTheme="minorHAnsi" w:hAnsiTheme="minorHAnsi"/>
                <w:bCs/>
              </w:rPr>
              <w:t>No</w:t>
            </w:r>
          </w:p>
        </w:tc>
        <w:tc>
          <w:tcPr>
            <w:tcW w:w="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C7C2" w:themeFill="accent5" w:themeFillTint="66"/>
          </w:tcPr>
          <w:p w14:paraId="652F2882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1A1C3E">
              <w:rPr>
                <w:rFonts w:asciiTheme="minorHAnsi" w:hAnsiTheme="minorHAnsi"/>
                <w:bCs/>
              </w:rPr>
              <w:t>Unsure</w:t>
            </w:r>
          </w:p>
        </w:tc>
      </w:tr>
      <w:tr w:rsidR="00B35FCD" w:rsidRPr="001A1C3E" w14:paraId="38E18E77" w14:textId="77777777" w:rsidTr="00421FBC">
        <w:tc>
          <w:tcPr>
            <w:tcW w:w="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5D81C0C5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13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55CD1D15" w14:textId="77777777" w:rsidR="00B35FCD" w:rsidRPr="00D271FC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b/>
                <w:sz w:val="20"/>
              </w:rPr>
            </w:pPr>
            <w:r w:rsidRPr="00D271FC">
              <w:rPr>
                <w:rFonts w:asciiTheme="minorHAnsi" w:hAnsiTheme="minorHAnsi"/>
                <w:b/>
                <w:sz w:val="20"/>
              </w:rPr>
              <w:t>In accordance with s 104 of the E&amp;T Act, has the board obtained a Police vet for every person:</w:t>
            </w:r>
          </w:p>
        </w:tc>
      </w:tr>
      <w:tr w:rsidR="00B35FCD" w:rsidRPr="001A1C3E" w14:paraId="758EE878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40232AEB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6259" w14:textId="77777777" w:rsidR="00B35FCD" w:rsidRPr="001A1C3E" w:rsidRDefault="00B35FCD" w:rsidP="00B35FCD">
            <w:pPr>
              <w:pStyle w:val="Text"/>
              <w:numPr>
                <w:ilvl w:val="0"/>
                <w:numId w:val="13"/>
              </w:numPr>
              <w:spacing w:before="120" w:after="120"/>
              <w:jc w:val="left"/>
              <w:rPr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 xml:space="preserve">whom the board appoints or intends to appoint to a position at the school; and 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B62A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4E2F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549C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68983776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67930EB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B72" w14:textId="77777777" w:rsidR="00B35FCD" w:rsidRPr="001A1C3E" w:rsidRDefault="00B35FCD" w:rsidP="00B35FCD">
            <w:pPr>
              <w:pStyle w:val="Text"/>
              <w:numPr>
                <w:ilvl w:val="0"/>
                <w:numId w:val="13"/>
              </w:numPr>
              <w:spacing w:before="120" w:after="120"/>
              <w:jc w:val="left"/>
              <w:rPr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who is to work at the school during normal school hours; and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0777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6587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CB47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7F8C8925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32948D73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379E" w14:textId="77777777" w:rsidR="00B35FCD" w:rsidRPr="001A1C3E" w:rsidRDefault="00B35FCD" w:rsidP="00B35FCD">
            <w:pPr>
              <w:pStyle w:val="Text"/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who is not a registered teacher or holder of a limited authority to teach [LAT]?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5CC5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F080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0696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039AF7FA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4D765CC8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46BD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Has the board obtained a Police vet of every contractor, or employee of a contractor who has, or is likely to have unsupervised access to students at the school during normal school hours?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9196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E191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2263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6D33B8EF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6B27DFC9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1FC9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sz w:val="20"/>
              </w:rPr>
              <w:t>Has the board ensured that the Police vet is obtained before every person/contractor or their employee noted above has, or is likely to have unsupervised access to students at the school during normal school hours?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4AB2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5F0F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BED4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2939BE97" w14:textId="77777777" w:rsidTr="00421FBC">
        <w:tc>
          <w:tcPr>
            <w:tcW w:w="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744A9491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86AB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iCs/>
                <w:sz w:val="20"/>
              </w:rPr>
            </w:pPr>
            <w:r w:rsidRPr="001A1C3E">
              <w:rPr>
                <w:rFonts w:asciiTheme="minorHAnsi" w:hAnsiTheme="minorHAnsi"/>
                <w:iCs/>
                <w:sz w:val="20"/>
              </w:rPr>
              <w:t>Has the board obtained a Police vet every three years of every person /contractor or their employee noted above who still works at the school?</w:t>
            </w:r>
          </w:p>
          <w:p w14:paraId="69654208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iCs/>
                <w:sz w:val="20"/>
              </w:rPr>
            </w:pPr>
            <w:r w:rsidRPr="001A1C3E">
              <w:rPr>
                <w:rFonts w:asciiTheme="minorHAnsi" w:hAnsiTheme="minorHAnsi"/>
                <w:i/>
                <w:iCs/>
                <w:sz w:val="20"/>
              </w:rPr>
              <w:t>Reference: Clauses 9, 10, 11, and 12 Schedule 4 Education and Training Act 2020.</w:t>
            </w:r>
          </w:p>
          <w:p w14:paraId="6CA32D1B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1C3E">
              <w:rPr>
                <w:rFonts w:asciiTheme="minorHAnsi" w:hAnsiTheme="minorHAnsi"/>
                <w:b/>
                <w:bCs/>
                <w:sz w:val="20"/>
              </w:rPr>
              <w:t>Note:</w:t>
            </w:r>
            <w:r w:rsidRPr="001A1C3E">
              <w:rPr>
                <w:rFonts w:asciiTheme="minorHAnsi" w:hAnsiTheme="minorHAnsi"/>
                <w:sz w:val="20"/>
              </w:rPr>
              <w:t xml:space="preserve"> Nothing in the provisions above limits or affects Part 3 of the Children’s Act 2014 in relation to the safety checking of children’s workers [refer clause 14 of Schedule 4 E&amp;T Act 2020]. </w:t>
            </w:r>
          </w:p>
          <w:p w14:paraId="4B065CD8" w14:textId="77777777" w:rsidR="00B35FCD" w:rsidRPr="001A1C3E" w:rsidRDefault="008D12F1" w:rsidP="00F84D90">
            <w:pPr>
              <w:rPr>
                <w:color w:val="0000FF"/>
                <w:sz w:val="20"/>
                <w:szCs w:val="20"/>
              </w:rPr>
            </w:pPr>
            <w:hyperlink r:id="rId31" w:anchor="LMS200424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104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32" w:anchor="LMS200424" w:history="1">
              <w:r w:rsidR="00B35FCD" w:rsidRPr="001A1C3E">
                <w:rPr>
                  <w:color w:val="0000FF"/>
                  <w:sz w:val="20"/>
                  <w:szCs w:val="20"/>
                  <w:lang w:eastAsia="en-NZ"/>
                </w:rPr>
                <w:t>Required Police vetting</w:t>
              </w:r>
            </w:hyperlink>
            <w:r w:rsidR="00B35FCD" w:rsidRPr="001A1C3E">
              <w:rPr>
                <w:color w:val="0000FF"/>
                <w:sz w:val="20"/>
                <w:szCs w:val="20"/>
                <w:lang w:eastAsia="en-NZ"/>
              </w:rPr>
              <w:br/>
            </w:r>
            <w:hyperlink r:id="rId33" w:history="1">
              <w:r w:rsidR="00B35FCD" w:rsidRPr="001A1C3E">
                <w:rPr>
                  <w:color w:val="0000FF"/>
                  <w:sz w:val="20"/>
                  <w:szCs w:val="20"/>
                </w:rPr>
                <w:t>Schedule 4</w:t>
              </w:r>
            </w:hyperlink>
            <w:r w:rsidR="00B35FCD" w:rsidRPr="001A1C3E">
              <w:rPr>
                <w:color w:val="0000FF"/>
                <w:sz w:val="20"/>
                <w:szCs w:val="20"/>
              </w:rPr>
              <w:t xml:space="preserve"> </w:t>
            </w:r>
            <w:hyperlink r:id="rId34" w:history="1">
              <w:r w:rsidR="00B35FCD" w:rsidRPr="001A1C3E">
                <w:rPr>
                  <w:color w:val="0000FF"/>
                  <w:sz w:val="20"/>
                  <w:szCs w:val="20"/>
                </w:rPr>
                <w:t>Police vetting</w:t>
              </w:r>
            </w:hyperlink>
            <w:r w:rsidR="00B35FCD" w:rsidRPr="001A1C3E">
              <w:rPr>
                <w:color w:val="0000FF"/>
                <w:sz w:val="20"/>
                <w:szCs w:val="20"/>
              </w:rPr>
              <w:tab/>
            </w:r>
          </w:p>
          <w:p w14:paraId="4E24A402" w14:textId="77777777" w:rsidR="00B35FCD" w:rsidRPr="001A1C3E" w:rsidRDefault="00B35FCD" w:rsidP="00F84D90">
            <w:pPr>
              <w:rPr>
                <w:color w:val="0000FF"/>
                <w:sz w:val="20"/>
                <w:szCs w:val="20"/>
                <w:lang w:eastAsia="en-NZ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BCE3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3A57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E869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</w:tbl>
    <w:p w14:paraId="27517468" w14:textId="77777777" w:rsidR="00B35FCD" w:rsidRDefault="00B35FCD" w:rsidP="00B35FCD">
      <w:r>
        <w:t xml:space="preserve"> </w:t>
      </w:r>
    </w:p>
    <w:p w14:paraId="7AEB938B" w14:textId="77777777" w:rsidR="00B35FCD" w:rsidRDefault="00B35FCD" w:rsidP="00B35FCD">
      <w:pPr>
        <w:pStyle w:val="Heading2"/>
        <w:sectPr w:rsidR="00B35FCD" w:rsidSect="00DB5F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882C90" w14:textId="38913263" w:rsidR="00B35FCD" w:rsidRPr="00421FBC" w:rsidRDefault="00B35FCD" w:rsidP="00421FBC">
      <w:pPr>
        <w:pStyle w:val="Heading1"/>
        <w:rPr>
          <w:b/>
          <w:color w:val="D67467" w:themeColor="accent5"/>
        </w:rPr>
      </w:pPr>
      <w:bookmarkStart w:id="8" w:name="_Toc62217839"/>
      <w:bookmarkStart w:id="9" w:name="_Toc62815743"/>
      <w:r w:rsidRPr="00421FBC">
        <w:rPr>
          <w:b/>
          <w:color w:val="D67467" w:themeColor="accent5"/>
        </w:rPr>
        <w:lastRenderedPageBreak/>
        <w:t>Implementing human resource management practices 3</w:t>
      </w:r>
      <w:bookmarkEnd w:id="8"/>
      <w:r w:rsidR="009E5BB6" w:rsidRPr="00421FBC">
        <w:rPr>
          <w:b/>
          <w:color w:val="D67467" w:themeColor="accent5"/>
        </w:rPr>
        <w:t xml:space="preserve"> </w:t>
      </w:r>
      <w:r w:rsidR="008D12F1">
        <w:rPr>
          <w:b/>
          <w:color w:val="D67467" w:themeColor="accent5"/>
        </w:rPr>
        <w:t xml:space="preserve"> </w:t>
      </w:r>
      <w:bookmarkEnd w:id="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11488"/>
        <w:gridCol w:w="505"/>
        <w:gridCol w:w="543"/>
        <w:gridCol w:w="832"/>
      </w:tblGrid>
      <w:tr w:rsidR="00B35FCD" w:rsidRPr="001A1C3E" w14:paraId="05ECB9FE" w14:textId="77777777" w:rsidTr="00421FBC">
        <w:trPr>
          <w:tblHeader/>
        </w:trPr>
        <w:tc>
          <w:tcPr>
            <w:tcW w:w="12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15226DE7" w14:textId="77777777" w:rsidR="00B35FCD" w:rsidRPr="00421FBC" w:rsidRDefault="00B35FCD" w:rsidP="00F84D9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21FBC">
              <w:rPr>
                <w:rFonts w:cstheme="minorHAnsi"/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64DEE55F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21FBC">
              <w:rPr>
                <w:rFonts w:asciiTheme="minorHAnsi" w:hAnsiTheme="minorHAnsi"/>
                <w:bCs/>
                <w:i w:val="0"/>
              </w:rPr>
              <w:t>Yes</w:t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C7C2" w:themeFill="accent5" w:themeFillTint="66"/>
          </w:tcPr>
          <w:p w14:paraId="56125F07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21FBC">
              <w:rPr>
                <w:rFonts w:asciiTheme="minorHAnsi" w:hAnsiTheme="minorHAnsi"/>
                <w:bCs/>
                <w:i w:val="0"/>
              </w:rPr>
              <w:t>No</w:t>
            </w:r>
          </w:p>
        </w:tc>
        <w:tc>
          <w:tcPr>
            <w:tcW w:w="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C7C2" w:themeFill="accent5" w:themeFillTint="66"/>
          </w:tcPr>
          <w:p w14:paraId="19D47081" w14:textId="77777777" w:rsidR="00B35FCD" w:rsidRPr="00421FBC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21FBC">
              <w:rPr>
                <w:rFonts w:asciiTheme="minorHAnsi" w:hAnsiTheme="minorHAnsi"/>
                <w:bCs/>
                <w:i w:val="0"/>
              </w:rPr>
              <w:t>Unsure</w:t>
            </w:r>
          </w:p>
        </w:tc>
      </w:tr>
      <w:tr w:rsidR="00B35FCD" w:rsidRPr="001A1C3E" w14:paraId="3014B1C3" w14:textId="77777777" w:rsidTr="00421FBC">
        <w:tc>
          <w:tcPr>
            <w:tcW w:w="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65A7F06E" w14:textId="77777777" w:rsidR="00B35FCD" w:rsidRPr="001A1C3E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76BF9DC6" w14:textId="77777777" w:rsidR="00B35FCD" w:rsidRPr="00D271FC" w:rsidRDefault="00B35FCD" w:rsidP="00F84D9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271FC">
              <w:rPr>
                <w:rFonts w:cstheme="minorHAnsi"/>
                <w:b/>
                <w:sz w:val="20"/>
                <w:szCs w:val="20"/>
              </w:rPr>
              <w:t>Documents showing that suitable human resource management practices are implemented including:</w:t>
            </w:r>
          </w:p>
        </w:tc>
      </w:tr>
      <w:tr w:rsidR="00B35FCD" w:rsidRPr="001A1C3E" w14:paraId="1F400FEC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24F450FF" w14:textId="77777777" w:rsidR="00B35FCD" w:rsidRPr="001A1C3E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013B" w14:textId="77777777" w:rsidR="00B35FCD" w:rsidRPr="001A1C3E" w:rsidRDefault="00B35FCD" w:rsidP="00B35F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selection and appointment procedures showing that:</w:t>
            </w:r>
          </w:p>
        </w:tc>
      </w:tr>
      <w:tr w:rsidR="00B35FCD" w:rsidRPr="001A1C3E" w14:paraId="0E2020C3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77AFA241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896E" w14:textId="77777777" w:rsidR="00B35FCD" w:rsidRPr="001A1C3E" w:rsidRDefault="00B35FCD" w:rsidP="00B35FCD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the appointment panel has the proper delegation from the board;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1781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81D5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BDA3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126E4A31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19586C6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1AAB" w14:textId="77777777" w:rsidR="00B35FCD" w:rsidRPr="001A1C3E" w:rsidRDefault="00B35FCD" w:rsidP="00B35FCD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applicants are registered for teaching positions; and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E990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1DA5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FEBB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50EEA68E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2C20EFD3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4A12" w14:textId="77777777" w:rsidR="00B35FCD" w:rsidRPr="001A1C3E" w:rsidRDefault="00B35FCD" w:rsidP="00B35FCD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for non-teaching positions, a Police Vet has been carried out;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54E7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FCE2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3136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6468E0CE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6E78696E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849E" w14:textId="77777777" w:rsidR="00B35FCD" w:rsidRPr="001A1C3E" w:rsidRDefault="00B35FCD" w:rsidP="00B35FCD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the background of an applicant’s character, competence, qualifications, and experience is carefully checked;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6B5A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4041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A7F2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17F9A445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268527D0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1C65" w14:textId="77777777" w:rsidR="00B35FCD" w:rsidRPr="001A1C3E" w:rsidRDefault="00B35FCD" w:rsidP="00B35FCD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original or certified documents are properly sighted; and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339F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27F1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FF78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7D201570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5F1FA057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0910" w14:textId="77777777" w:rsidR="00B35FCD" w:rsidRPr="001A1C3E" w:rsidRDefault="00B35FCD" w:rsidP="00B35FCD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certified documents are authenticated by persons authorised to do so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9463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712E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DC09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77F4D56C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52E37787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4A09" w14:textId="77777777" w:rsidR="00B35FCD" w:rsidRPr="001A1C3E" w:rsidRDefault="00B35FCD" w:rsidP="00B35FC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the job/role descriptions;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2CDD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DBD9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EB34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49DA55ED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06AC7E88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E945" w14:textId="77777777" w:rsidR="00B35FCD" w:rsidRPr="001A1C3E" w:rsidRDefault="00B35FCD" w:rsidP="00B35FC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induction procedures into the school;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C8F1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AD55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3906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0ED38F76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581F33A9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B25C" w14:textId="77777777" w:rsidR="00B35FCD" w:rsidRPr="001A1C3E" w:rsidRDefault="00B35FCD" w:rsidP="00B35FC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a system of regular appraisal; and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56B3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04B8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CBB4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2639E42F" w14:textId="77777777" w:rsidTr="00421FBC"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653357E3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9E3D" w14:textId="77777777" w:rsidR="00B35FCD" w:rsidRPr="001A1C3E" w:rsidRDefault="00B35FCD" w:rsidP="00B35FCD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>provision for professional development.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9740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4D49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DDF5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  <w:tr w:rsidR="00B35FCD" w:rsidRPr="001A1C3E" w14:paraId="5C7A2CC0" w14:textId="77777777" w:rsidTr="00421FBC">
        <w:tc>
          <w:tcPr>
            <w:tcW w:w="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3E0" w:themeFill="accent5" w:themeFillTint="33"/>
          </w:tcPr>
          <w:p w14:paraId="15F3B34C" w14:textId="77777777" w:rsidR="00B35FCD" w:rsidRPr="001A1C3E" w:rsidRDefault="00B35FCD" w:rsidP="00F84D90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2461" w14:textId="77777777" w:rsidR="00B35FCD" w:rsidRPr="001A1C3E" w:rsidRDefault="00B35FCD" w:rsidP="00F84D9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A1C3E">
              <w:rPr>
                <w:rFonts w:cstheme="minorHAnsi"/>
                <w:sz w:val="20"/>
                <w:szCs w:val="20"/>
              </w:rPr>
              <w:t xml:space="preserve">[Section 599/600 Education and Training Act 2020; Good practice; </w:t>
            </w:r>
            <w:proofErr w:type="spellStart"/>
            <w:r w:rsidRPr="001A1C3E">
              <w:rPr>
                <w:rFonts w:cstheme="minorHAnsi"/>
                <w:sz w:val="20"/>
                <w:szCs w:val="20"/>
              </w:rPr>
              <w:t>MoE</w:t>
            </w:r>
            <w:proofErr w:type="spellEnd"/>
            <w:r w:rsidRPr="001A1C3E">
              <w:rPr>
                <w:rFonts w:cstheme="minorHAnsi"/>
                <w:sz w:val="20"/>
                <w:szCs w:val="20"/>
              </w:rPr>
              <w:t xml:space="preserve"> Guidelines]</w:t>
            </w:r>
          </w:p>
          <w:p w14:paraId="3BAA78CD" w14:textId="77777777" w:rsidR="00B35FCD" w:rsidRPr="001A1C3E" w:rsidRDefault="008D12F1" w:rsidP="00F84D90">
            <w:pPr>
              <w:rPr>
                <w:rFonts w:cstheme="minorHAnsi"/>
                <w:color w:val="0000FF"/>
                <w:sz w:val="20"/>
                <w:szCs w:val="20"/>
                <w:lang w:eastAsia="en-NZ"/>
              </w:rPr>
            </w:pPr>
            <w:hyperlink r:id="rId35" w:history="1">
              <w:r w:rsidR="00B35FCD" w:rsidRPr="001A1C3E">
                <w:rPr>
                  <w:rFonts w:cstheme="minorHAnsi"/>
                  <w:color w:val="0000FF"/>
                  <w:sz w:val="20"/>
                  <w:szCs w:val="20"/>
                  <w:lang w:eastAsia="en-NZ"/>
                </w:rPr>
                <w:t>599</w:t>
              </w:r>
            </w:hyperlink>
            <w:r w:rsidR="00B35FCD" w:rsidRPr="001A1C3E">
              <w:rPr>
                <w:rFonts w:cstheme="minorHAnsi"/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36" w:history="1">
              <w:r w:rsidR="00B35FCD" w:rsidRPr="001A1C3E">
                <w:rPr>
                  <w:rFonts w:cstheme="minorHAnsi"/>
                  <w:color w:val="0000FF"/>
                  <w:sz w:val="20"/>
                  <w:szCs w:val="20"/>
                  <w:lang w:eastAsia="en-NZ"/>
                </w:rPr>
                <w:t>Performance of teachers</w:t>
              </w:r>
            </w:hyperlink>
          </w:p>
          <w:p w14:paraId="15E928F7" w14:textId="77777777" w:rsidR="00B35FCD" w:rsidRPr="001A1C3E" w:rsidRDefault="008D12F1" w:rsidP="00F84D90">
            <w:pPr>
              <w:rPr>
                <w:rFonts w:cstheme="minorHAnsi"/>
                <w:color w:val="0000FF"/>
                <w:sz w:val="20"/>
                <w:szCs w:val="20"/>
                <w:lang w:eastAsia="en-NZ"/>
              </w:rPr>
            </w:pPr>
            <w:hyperlink r:id="rId37" w:history="1">
              <w:r w:rsidR="00B35FCD" w:rsidRPr="001A1C3E">
                <w:rPr>
                  <w:rFonts w:cstheme="minorHAnsi"/>
                  <w:color w:val="0000FF"/>
                  <w:sz w:val="20"/>
                  <w:szCs w:val="20"/>
                  <w:lang w:eastAsia="en-NZ"/>
                </w:rPr>
                <w:t>600</w:t>
              </w:r>
            </w:hyperlink>
            <w:r w:rsidR="00B35FCD" w:rsidRPr="001A1C3E">
              <w:rPr>
                <w:rFonts w:cstheme="minorHAnsi"/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38" w:history="1">
              <w:r w:rsidR="00B35FCD" w:rsidRPr="001A1C3E">
                <w:rPr>
                  <w:rFonts w:cstheme="minorHAnsi"/>
                  <w:color w:val="0000FF"/>
                  <w:sz w:val="20"/>
                  <w:szCs w:val="20"/>
                  <w:lang w:eastAsia="en-NZ"/>
                </w:rPr>
                <w:t>Equal employment opportunities</w:t>
              </w:r>
            </w:hyperlink>
          </w:p>
          <w:p w14:paraId="2CD55310" w14:textId="77777777" w:rsidR="00B35FCD" w:rsidRPr="001A1C3E" w:rsidRDefault="00B35FCD" w:rsidP="00F84D90">
            <w:pPr>
              <w:rPr>
                <w:rFonts w:cstheme="minorHAnsi"/>
                <w:color w:val="0000FF"/>
                <w:sz w:val="20"/>
                <w:szCs w:val="20"/>
                <w:lang w:eastAsia="en-NZ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63A8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EB83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E55E" w14:textId="77777777" w:rsidR="00B35FCD" w:rsidRPr="001A1C3E" w:rsidRDefault="00B35FCD" w:rsidP="00F84D90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i w:val="0"/>
                <w:iCs w:val="0"/>
                <w:lang w:val="en-GB"/>
              </w:rPr>
            </w:pPr>
          </w:p>
        </w:tc>
      </w:tr>
    </w:tbl>
    <w:p w14:paraId="5613A747" w14:textId="77777777" w:rsidR="00B35FCD" w:rsidRDefault="00B35FCD" w:rsidP="00B35FCD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26"/>
        <w:gridCol w:w="8002"/>
      </w:tblGrid>
      <w:tr w:rsidR="00421FBC" w:rsidRPr="00421FBC" w14:paraId="1B9C8F88" w14:textId="77777777" w:rsidTr="00421FBC">
        <w:trPr>
          <w:trHeight w:val="254"/>
        </w:trPr>
        <w:tc>
          <w:tcPr>
            <w:tcW w:w="5926" w:type="dxa"/>
            <w:tcBorders>
              <w:right w:val="single" w:sz="4" w:space="0" w:color="auto"/>
            </w:tcBorders>
            <w:shd w:val="clear" w:color="auto" w:fill="EEC7C2" w:themeFill="accent5" w:themeFillTint="66"/>
          </w:tcPr>
          <w:p w14:paraId="1970DBF9" w14:textId="623958A3" w:rsidR="00421FBC" w:rsidRPr="00421FBC" w:rsidRDefault="00421FBC" w:rsidP="00F84D90">
            <w:pPr>
              <w:rPr>
                <w:b/>
                <w:bCs/>
                <w:sz w:val="20"/>
                <w:szCs w:val="20"/>
              </w:rPr>
            </w:pPr>
            <w:r w:rsidRPr="00421FBC">
              <w:rPr>
                <w:b/>
                <w:bCs/>
                <w:sz w:val="20"/>
                <w:szCs w:val="20"/>
              </w:rPr>
              <w:lastRenderedPageBreak/>
              <w:t>Further thoughts</w:t>
            </w:r>
          </w:p>
        </w:tc>
        <w:tc>
          <w:tcPr>
            <w:tcW w:w="8002" w:type="dxa"/>
            <w:tcBorders>
              <w:left w:val="single" w:sz="4" w:space="0" w:color="auto"/>
            </w:tcBorders>
            <w:shd w:val="clear" w:color="auto" w:fill="EEC7C2" w:themeFill="accent5" w:themeFillTint="66"/>
          </w:tcPr>
          <w:p w14:paraId="19B3A3B8" w14:textId="77777777" w:rsidR="00421FBC" w:rsidRPr="00421FBC" w:rsidRDefault="00421FBC" w:rsidP="00F84D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5FCD" w:rsidRPr="00421FBC" w14:paraId="3A53538A" w14:textId="77777777" w:rsidTr="00421FBC">
        <w:trPr>
          <w:trHeight w:val="254"/>
        </w:trPr>
        <w:tc>
          <w:tcPr>
            <w:tcW w:w="5926" w:type="dxa"/>
            <w:tcBorders>
              <w:right w:val="single" w:sz="4" w:space="0" w:color="auto"/>
            </w:tcBorders>
            <w:shd w:val="clear" w:color="auto" w:fill="EEC7C2" w:themeFill="accent5" w:themeFillTint="66"/>
          </w:tcPr>
          <w:p w14:paraId="20A9B861" w14:textId="77777777" w:rsidR="00B35FCD" w:rsidRPr="00421FBC" w:rsidRDefault="00B35FCD" w:rsidP="00F84D90">
            <w:pPr>
              <w:rPr>
                <w:b/>
                <w:bCs/>
                <w:sz w:val="20"/>
                <w:szCs w:val="20"/>
              </w:rPr>
            </w:pPr>
            <w:r w:rsidRPr="00421FBC">
              <w:rPr>
                <w:b/>
                <w:bCs/>
                <w:sz w:val="20"/>
                <w:szCs w:val="20"/>
              </w:rPr>
              <w:t xml:space="preserve">Thinking about each of the elements above, does the board see any areas where you would like to see improvement? </w:t>
            </w:r>
          </w:p>
        </w:tc>
        <w:tc>
          <w:tcPr>
            <w:tcW w:w="8002" w:type="dxa"/>
            <w:tcBorders>
              <w:left w:val="single" w:sz="4" w:space="0" w:color="auto"/>
            </w:tcBorders>
            <w:shd w:val="clear" w:color="auto" w:fill="EEC7C2" w:themeFill="accent5" w:themeFillTint="66"/>
          </w:tcPr>
          <w:p w14:paraId="2A131D2F" w14:textId="77777777" w:rsidR="00B35FCD" w:rsidRPr="00421FBC" w:rsidRDefault="00B35FCD" w:rsidP="00F84D90">
            <w:pPr>
              <w:rPr>
                <w:b/>
                <w:bCs/>
                <w:sz w:val="20"/>
                <w:szCs w:val="20"/>
              </w:rPr>
            </w:pPr>
            <w:r w:rsidRPr="00421FBC">
              <w:rPr>
                <w:b/>
                <w:bCs/>
                <w:sz w:val="20"/>
                <w:szCs w:val="20"/>
              </w:rPr>
              <w:t>Comments/notes</w:t>
            </w:r>
          </w:p>
        </w:tc>
      </w:tr>
      <w:tr w:rsidR="00B35FCD" w:rsidRPr="00421FBC" w14:paraId="21B652E9" w14:textId="77777777" w:rsidTr="00F84D90">
        <w:trPr>
          <w:trHeight w:val="2813"/>
        </w:trPr>
        <w:tc>
          <w:tcPr>
            <w:tcW w:w="5926" w:type="dxa"/>
            <w:tcBorders>
              <w:bottom w:val="single" w:sz="2" w:space="0" w:color="auto"/>
              <w:right w:val="single" w:sz="4" w:space="0" w:color="auto"/>
            </w:tcBorders>
          </w:tcPr>
          <w:p w14:paraId="29B8A934" w14:textId="77777777" w:rsidR="00B35FCD" w:rsidRPr="00421FBC" w:rsidRDefault="00B35FCD" w:rsidP="00F84D90">
            <w:pPr>
              <w:rPr>
                <w:i/>
                <w:sz w:val="20"/>
                <w:szCs w:val="20"/>
              </w:rPr>
            </w:pPr>
            <w:r w:rsidRPr="00421FBC">
              <w:rPr>
                <w:i/>
                <w:sz w:val="20"/>
                <w:szCs w:val="20"/>
              </w:rPr>
              <w:t>Elements to consider</w:t>
            </w:r>
          </w:p>
          <w:p w14:paraId="2C400217" w14:textId="77777777" w:rsidR="00B35FCD" w:rsidRPr="00421FBC" w:rsidRDefault="00B35FCD" w:rsidP="00F84D90">
            <w:pPr>
              <w:rPr>
                <w:i/>
                <w:sz w:val="20"/>
                <w:szCs w:val="20"/>
              </w:rPr>
            </w:pPr>
          </w:p>
          <w:p w14:paraId="2E9CE9CC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  <w:r w:rsidRPr="00421FBC">
              <w:rPr>
                <w:iCs/>
                <w:sz w:val="20"/>
                <w:szCs w:val="20"/>
              </w:rPr>
              <w:t>Safety checking of the workforce</w:t>
            </w:r>
          </w:p>
          <w:p w14:paraId="54C20ED9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</w:p>
          <w:p w14:paraId="33C08F92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  <w:r w:rsidRPr="00421FBC">
              <w:rPr>
                <w:iCs/>
                <w:sz w:val="20"/>
                <w:szCs w:val="20"/>
              </w:rPr>
              <w:t>Maintaining up to date teacher practising certificates</w:t>
            </w:r>
          </w:p>
          <w:p w14:paraId="7D50ADBA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</w:p>
          <w:p w14:paraId="1B25A2AC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  <w:r w:rsidRPr="00421FBC">
              <w:rPr>
                <w:iCs/>
                <w:sz w:val="20"/>
                <w:szCs w:val="20"/>
              </w:rPr>
              <w:t>Police vetting of employees and contractors</w:t>
            </w:r>
          </w:p>
          <w:p w14:paraId="0DDE5BC2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</w:p>
          <w:p w14:paraId="2672C897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  <w:r w:rsidRPr="00421FBC">
              <w:rPr>
                <w:iCs/>
                <w:sz w:val="20"/>
                <w:szCs w:val="20"/>
              </w:rPr>
              <w:t>Implementing rigorous appointment processes</w:t>
            </w:r>
          </w:p>
        </w:tc>
        <w:tc>
          <w:tcPr>
            <w:tcW w:w="8002" w:type="dxa"/>
            <w:tcBorders>
              <w:left w:val="single" w:sz="4" w:space="0" w:color="auto"/>
              <w:bottom w:val="single" w:sz="2" w:space="0" w:color="auto"/>
            </w:tcBorders>
          </w:tcPr>
          <w:p w14:paraId="1C861BA7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</w:p>
          <w:p w14:paraId="5FDFA47E" w14:textId="77777777" w:rsidR="00B35FCD" w:rsidRPr="00421FBC" w:rsidRDefault="00B35FCD" w:rsidP="00F84D90">
            <w:pPr>
              <w:rPr>
                <w:iCs/>
                <w:sz w:val="20"/>
                <w:szCs w:val="20"/>
              </w:rPr>
            </w:pPr>
          </w:p>
        </w:tc>
      </w:tr>
      <w:tr w:rsidR="00B35FCD" w:rsidRPr="00421FBC" w14:paraId="51FD2B55" w14:textId="77777777" w:rsidTr="00421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3928" w:type="dxa"/>
            <w:gridSpan w:val="2"/>
            <w:shd w:val="clear" w:color="auto" w:fill="F6E3E0" w:themeFill="accent5" w:themeFillTint="33"/>
          </w:tcPr>
          <w:p w14:paraId="6A978604" w14:textId="77777777" w:rsidR="00B35FCD" w:rsidRPr="00421FBC" w:rsidRDefault="00B35FCD" w:rsidP="00F84D90">
            <w:pPr>
              <w:rPr>
                <w:b/>
                <w:sz w:val="20"/>
                <w:szCs w:val="20"/>
              </w:rPr>
            </w:pPr>
            <w:r w:rsidRPr="00421FBC">
              <w:rPr>
                <w:b/>
                <w:sz w:val="20"/>
                <w:szCs w:val="20"/>
              </w:rPr>
              <w:t xml:space="preserve">Space for further comments as needed </w:t>
            </w:r>
          </w:p>
        </w:tc>
      </w:tr>
      <w:tr w:rsidR="00B35FCD" w:rsidRPr="00421FBC" w14:paraId="1DF87D1D" w14:textId="77777777" w:rsidTr="00F84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8"/>
        </w:trPr>
        <w:tc>
          <w:tcPr>
            <w:tcW w:w="13928" w:type="dxa"/>
            <w:gridSpan w:val="2"/>
          </w:tcPr>
          <w:p w14:paraId="78743A96" w14:textId="77777777" w:rsidR="00B35FCD" w:rsidRPr="00421FBC" w:rsidRDefault="00B35FCD" w:rsidP="00F84D90">
            <w:pPr>
              <w:rPr>
                <w:sz w:val="20"/>
                <w:szCs w:val="20"/>
              </w:rPr>
            </w:pPr>
          </w:p>
        </w:tc>
      </w:tr>
    </w:tbl>
    <w:p w14:paraId="7DDF1B7B" w14:textId="77777777" w:rsidR="00B35FCD" w:rsidRPr="00B35FCD" w:rsidRDefault="00B35FCD" w:rsidP="00B35FCD"/>
    <w:p w14:paraId="3DBC1EF6" w14:textId="77777777" w:rsidR="00652F1A" w:rsidRDefault="00652F1A">
      <w:pPr>
        <w:sectPr w:rsidR="00652F1A" w:rsidSect="009058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FC8EBE" w14:textId="3B731834" w:rsidR="00652F1A" w:rsidRPr="005050F1" w:rsidRDefault="00652F1A" w:rsidP="00652F1A">
      <w:pPr>
        <w:pStyle w:val="Heading1"/>
      </w:pPr>
      <w:bookmarkStart w:id="10" w:name="_Toc49936711"/>
      <w:bookmarkStart w:id="11" w:name="_Toc62815744"/>
      <w:r>
        <w:lastRenderedPageBreak/>
        <w:t>General personnel and industrial policies 1-2</w:t>
      </w:r>
      <w:bookmarkEnd w:id="10"/>
      <w:r w:rsidR="000619CC">
        <w:t xml:space="preserve"> </w:t>
      </w:r>
      <w:r w:rsidR="008D12F1">
        <w:t xml:space="preserve"> </w:t>
      </w:r>
      <w:bookmarkEnd w:id="11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652F1A" w14:paraId="6BE64A54" w14:textId="77777777" w:rsidTr="00494969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17FD04E3" w14:textId="77777777" w:rsidR="00652F1A" w:rsidRPr="00D80E2A" w:rsidRDefault="00652F1A" w:rsidP="00E9702A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60B147AA" w14:textId="77777777" w:rsidR="00652F1A" w:rsidRPr="004A0A70" w:rsidRDefault="00652F1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C171E60" w14:textId="77777777" w:rsidR="00652F1A" w:rsidRPr="004A0A70" w:rsidRDefault="00652F1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6DF505A4" w14:textId="77777777" w:rsidR="00652F1A" w:rsidRPr="004A0A70" w:rsidRDefault="00652F1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822C0D" w14:paraId="063A16B8" w14:textId="77777777" w:rsidTr="00494969">
        <w:tc>
          <w:tcPr>
            <w:tcW w:w="560" w:type="dxa"/>
            <w:vMerge w:val="restart"/>
            <w:shd w:val="clear" w:color="auto" w:fill="E9F1EF" w:themeFill="accent6" w:themeFillTint="33"/>
          </w:tcPr>
          <w:p w14:paraId="7CBE6C20" w14:textId="77777777" w:rsidR="00822C0D" w:rsidRPr="00652F1A" w:rsidRDefault="00822C0D" w:rsidP="00822C0D">
            <w:pPr>
              <w:spacing w:before="120" w:after="120"/>
              <w:rPr>
                <w:sz w:val="20"/>
                <w:szCs w:val="20"/>
              </w:rPr>
            </w:pPr>
            <w:r w:rsidRPr="00652F1A">
              <w:rPr>
                <w:sz w:val="20"/>
                <w:szCs w:val="20"/>
              </w:rPr>
              <w:t>1</w:t>
            </w:r>
          </w:p>
        </w:tc>
        <w:tc>
          <w:tcPr>
            <w:tcW w:w="11503" w:type="dxa"/>
          </w:tcPr>
          <w:p w14:paraId="22B9CB03" w14:textId="77777777" w:rsidR="00822C0D" w:rsidRP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b/>
                <w:sz w:val="20"/>
                <w:lang w:eastAsia="en-NZ"/>
              </w:rPr>
            </w:pPr>
            <w:r w:rsidRPr="00822C0D">
              <w:rPr>
                <w:rFonts w:ascii="Calibri" w:hAnsi="Calibri"/>
                <w:b/>
                <w:sz w:val="20"/>
                <w:lang w:eastAsia="en-NZ"/>
              </w:rPr>
              <w:t xml:space="preserve">Does the Board - </w:t>
            </w:r>
          </w:p>
          <w:p w14:paraId="4CAE0197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 xml:space="preserve">a. </w:t>
            </w:r>
            <w:proofErr w:type="gramStart"/>
            <w:r>
              <w:rPr>
                <w:rFonts w:ascii="Calibri" w:hAnsi="Calibri"/>
                <w:sz w:val="20"/>
                <w:lang w:eastAsia="en-NZ"/>
              </w:rPr>
              <w:t>operate</w:t>
            </w:r>
            <w:proofErr w:type="gramEnd"/>
            <w:r>
              <w:rPr>
                <w:rFonts w:ascii="Calibri" w:hAnsi="Calibri"/>
                <w:sz w:val="20"/>
                <w:lang w:eastAsia="en-NZ"/>
              </w:rPr>
              <w:t xml:space="preserve"> an employment policy that complies with the principle of being a good employer; and</w:t>
            </w:r>
          </w:p>
          <w:p w14:paraId="4A7FCCFB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 xml:space="preserve">b. </w:t>
            </w:r>
            <w:proofErr w:type="gramStart"/>
            <w:r>
              <w:rPr>
                <w:rFonts w:ascii="Calibri" w:hAnsi="Calibri"/>
                <w:sz w:val="20"/>
                <w:lang w:eastAsia="en-NZ"/>
              </w:rPr>
              <w:t>make</w:t>
            </w:r>
            <w:proofErr w:type="gramEnd"/>
            <w:r>
              <w:rPr>
                <w:rFonts w:ascii="Calibri" w:hAnsi="Calibri"/>
                <w:sz w:val="20"/>
                <w:lang w:eastAsia="en-NZ"/>
              </w:rPr>
              <w:t xml:space="preserve"> that policy (including the equal employment opportunities programme) available to its employees; and </w:t>
            </w:r>
          </w:p>
          <w:p w14:paraId="23E78BD5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proofErr w:type="spellStart"/>
            <w:r>
              <w:rPr>
                <w:rFonts w:ascii="Calibri" w:hAnsi="Calibri"/>
                <w:sz w:val="20"/>
                <w:lang w:eastAsia="en-NZ"/>
              </w:rPr>
              <w:t>c.ensure</w:t>
            </w:r>
            <w:proofErr w:type="spellEnd"/>
            <w:r>
              <w:rPr>
                <w:rFonts w:ascii="Calibri" w:hAnsi="Calibri"/>
                <w:sz w:val="20"/>
                <w:lang w:eastAsia="en-NZ"/>
              </w:rPr>
              <w:t xml:space="preserve"> its compliance with that policy (including its equal employment opportunities programme) and </w:t>
            </w:r>
          </w:p>
          <w:p w14:paraId="04EC2B45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>report in its annual report* on the extent of its compliance.</w:t>
            </w:r>
          </w:p>
          <w:p w14:paraId="7344B514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>*</w:t>
            </w:r>
            <w:r>
              <w:rPr>
                <w:rFonts w:ascii="Calibri" w:hAnsi="Calibri"/>
                <w:b/>
                <w:bCs/>
                <w:sz w:val="20"/>
                <w:lang w:eastAsia="en-NZ"/>
              </w:rPr>
              <w:t>Note</w:t>
            </w:r>
            <w:r>
              <w:rPr>
                <w:rFonts w:ascii="Calibri" w:hAnsi="Calibri"/>
                <w:sz w:val="20"/>
                <w:lang w:eastAsia="en-NZ"/>
              </w:rPr>
              <w:t xml:space="preserve">: s 87 of the Education Act 1989 continues to apply until 1/1/2023 and requires Boards to prepare the annual report for the Secretary for Education. </w:t>
            </w:r>
          </w:p>
          <w:p w14:paraId="2DE3B741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>[Ref: section 597(1) Education and Training Act 2020.</w:t>
            </w:r>
          </w:p>
          <w:p w14:paraId="13F9FD2D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>Section 597(2) of the E&amp;T Act defines the meaning of ‘good employer’]</w:t>
            </w:r>
          </w:p>
          <w:p w14:paraId="7872628A" w14:textId="77777777" w:rsidR="00822C0D" w:rsidRDefault="008D12F1" w:rsidP="00822C0D">
            <w:pPr>
              <w:spacing w:before="83"/>
              <w:rPr>
                <w:rFonts w:ascii="Calibri" w:hAnsi="Calibri"/>
                <w:i/>
                <w:iCs/>
                <w:sz w:val="20"/>
                <w:szCs w:val="20"/>
                <w:lang w:eastAsia="en-NZ"/>
              </w:rPr>
            </w:pPr>
            <w:hyperlink r:id="rId39" w:history="1">
              <w:r w:rsidR="00822C0D">
                <w:rPr>
                  <w:rStyle w:val="Hyperlink"/>
                  <w:i/>
                  <w:iCs/>
                  <w:sz w:val="20"/>
                  <w:szCs w:val="20"/>
                  <w:lang w:eastAsia="en-NZ"/>
                </w:rPr>
                <w:t>Personnel provisions in relation to education service</w:t>
              </w:r>
            </w:hyperlink>
          </w:p>
          <w:tbl>
            <w:tblPr>
              <w:tblW w:w="422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335"/>
              <w:gridCol w:w="9212"/>
            </w:tblGrid>
            <w:tr w:rsidR="00822C0D" w14:paraId="1AFDFE7B" w14:textId="77777777" w:rsidTr="00822C0D">
              <w:tc>
                <w:tcPr>
                  <w:tcW w:w="1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3B3501" w14:textId="77777777" w:rsidR="00822C0D" w:rsidRDefault="008D12F1" w:rsidP="00822C0D">
                  <w:pPr>
                    <w:spacing w:before="83" w:line="252" w:lineRule="auto"/>
                    <w:rPr>
                      <w:sz w:val="20"/>
                      <w:szCs w:val="20"/>
                      <w:lang w:eastAsia="en-NZ"/>
                    </w:rPr>
                  </w:pPr>
                  <w:hyperlink r:id="rId40" w:history="1">
                    <w:r w:rsidR="00822C0D">
                      <w:rPr>
                        <w:rStyle w:val="Hyperlink"/>
                        <w:sz w:val="20"/>
                        <w:szCs w:val="20"/>
                        <w:lang w:eastAsia="en-NZ"/>
                      </w:rPr>
                      <w:t>597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6D3E5C" w14:textId="77777777" w:rsidR="00822C0D" w:rsidRDefault="008D12F1" w:rsidP="00822C0D">
                  <w:pPr>
                    <w:spacing w:before="83" w:line="252" w:lineRule="auto"/>
                    <w:rPr>
                      <w:sz w:val="20"/>
                      <w:szCs w:val="20"/>
                      <w:lang w:eastAsia="en-NZ"/>
                    </w:rPr>
                  </w:pPr>
                  <w:hyperlink r:id="rId41" w:history="1">
                    <w:r w:rsidR="00822C0D">
                      <w:rPr>
                        <w:rStyle w:val="Hyperlink"/>
                        <w:sz w:val="20"/>
                        <w:szCs w:val="20"/>
                        <w:lang w:eastAsia="en-NZ"/>
                      </w:rPr>
                      <w:t>General principles</w:t>
                    </w:r>
                  </w:hyperlink>
                </w:p>
              </w:tc>
            </w:tr>
          </w:tbl>
          <w:p w14:paraId="30471252" w14:textId="64A18009" w:rsidR="00822C0D" w:rsidRPr="00652F1A" w:rsidRDefault="00822C0D" w:rsidP="00822C0D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</w:tcPr>
          <w:p w14:paraId="31968FA8" w14:textId="77777777" w:rsidR="00822C0D" w:rsidRPr="001E10F1" w:rsidRDefault="00822C0D" w:rsidP="00822C0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7811FEE3" w14:textId="77777777" w:rsidR="00822C0D" w:rsidRPr="001E10F1" w:rsidRDefault="00822C0D" w:rsidP="00822C0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656C4904" w14:textId="77777777" w:rsidR="00822C0D" w:rsidRPr="001E10F1" w:rsidRDefault="00822C0D" w:rsidP="00822C0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  <w:tr w:rsidR="00822C0D" w14:paraId="7A4DC6B4" w14:textId="77777777" w:rsidTr="008650CC">
        <w:tc>
          <w:tcPr>
            <w:tcW w:w="560" w:type="dxa"/>
            <w:vMerge/>
            <w:shd w:val="clear" w:color="auto" w:fill="E9F1EF" w:themeFill="accent6" w:themeFillTint="33"/>
          </w:tcPr>
          <w:p w14:paraId="7D863268" w14:textId="77777777" w:rsidR="00822C0D" w:rsidRPr="005050F1" w:rsidRDefault="00822C0D" w:rsidP="00822C0D">
            <w:pPr>
              <w:pStyle w:val="Header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3" w:type="dxa"/>
            <w:vAlign w:val="center"/>
          </w:tcPr>
          <w:p w14:paraId="2048CE5F" w14:textId="77777777" w:rsidR="00822C0D" w:rsidRPr="00652F1A" w:rsidRDefault="00822C0D" w:rsidP="00822C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52F1A">
              <w:rPr>
                <w:rFonts w:cstheme="minorHAnsi"/>
                <w:sz w:val="20"/>
                <w:szCs w:val="20"/>
              </w:rPr>
              <w:t xml:space="preserve">Being a good employer as defined in the State Sector Act 1988, and complied with the conditions contained in employment contracts applying to teaching and non-teaching staff? </w:t>
            </w:r>
          </w:p>
          <w:p w14:paraId="2421DF77" w14:textId="77777777" w:rsidR="00822C0D" w:rsidRPr="005050F1" w:rsidRDefault="00822C0D" w:rsidP="00822C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52F1A">
              <w:rPr>
                <w:rFonts w:cstheme="minorHAnsi"/>
                <w:sz w:val="20"/>
                <w:szCs w:val="20"/>
              </w:rPr>
              <w:t xml:space="preserve"> [NAG 3; s 77A State Sector Act].</w:t>
            </w:r>
          </w:p>
        </w:tc>
        <w:tc>
          <w:tcPr>
            <w:tcW w:w="501" w:type="dxa"/>
          </w:tcPr>
          <w:p w14:paraId="4286A09D" w14:textId="77777777" w:rsidR="00822C0D" w:rsidRPr="001E10F1" w:rsidRDefault="00822C0D" w:rsidP="00822C0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41CC6C58" w14:textId="77777777" w:rsidR="00822C0D" w:rsidRPr="001E10F1" w:rsidRDefault="00822C0D" w:rsidP="00822C0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5A65467B" w14:textId="77777777" w:rsidR="00822C0D" w:rsidRPr="001E10F1" w:rsidRDefault="00822C0D" w:rsidP="00822C0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  <w:tr w:rsidR="00652F1A" w14:paraId="6AF0577D" w14:textId="77777777" w:rsidTr="00494969">
        <w:tc>
          <w:tcPr>
            <w:tcW w:w="560" w:type="dxa"/>
            <w:shd w:val="clear" w:color="auto" w:fill="E9F1EF" w:themeFill="accent6" w:themeFillTint="33"/>
          </w:tcPr>
          <w:p w14:paraId="14CCE86C" w14:textId="77777777" w:rsidR="00652F1A" w:rsidRPr="00340D81" w:rsidRDefault="00652F1A" w:rsidP="00652F1A">
            <w:pPr>
              <w:spacing w:before="120" w:after="120"/>
              <w:rPr>
                <w:sz w:val="20"/>
                <w:szCs w:val="20"/>
              </w:rPr>
            </w:pPr>
            <w:r w:rsidRPr="00340D81">
              <w:rPr>
                <w:sz w:val="20"/>
                <w:szCs w:val="20"/>
              </w:rPr>
              <w:t>2</w:t>
            </w:r>
          </w:p>
        </w:tc>
        <w:tc>
          <w:tcPr>
            <w:tcW w:w="11503" w:type="dxa"/>
          </w:tcPr>
          <w:p w14:paraId="1EFC9BF7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 xml:space="preserve">Has the Board </w:t>
            </w:r>
            <w:proofErr w:type="gramStart"/>
            <w:r>
              <w:rPr>
                <w:rFonts w:ascii="Calibri" w:hAnsi="Calibri"/>
                <w:sz w:val="20"/>
                <w:lang w:eastAsia="en-NZ"/>
              </w:rPr>
              <w:t>taken into account</w:t>
            </w:r>
            <w:proofErr w:type="gramEnd"/>
            <w:r>
              <w:rPr>
                <w:rFonts w:ascii="Calibri" w:hAnsi="Calibri"/>
                <w:sz w:val="20"/>
                <w:lang w:eastAsia="en-NZ"/>
              </w:rPr>
              <w:t xml:space="preserve"> matters prescribed by the Secretary for Education for assessing the performance of teachers? </w:t>
            </w:r>
          </w:p>
          <w:p w14:paraId="5BF81CC2" w14:textId="77777777" w:rsidR="00822C0D" w:rsidRDefault="00822C0D" w:rsidP="00822C0D">
            <w:pPr>
              <w:pStyle w:val="Text"/>
              <w:spacing w:before="120" w:after="120"/>
              <w:jc w:val="left"/>
              <w:rPr>
                <w:rFonts w:ascii="Calibri" w:hAnsi="Calibri"/>
                <w:sz w:val="20"/>
                <w:lang w:eastAsia="en-NZ"/>
              </w:rPr>
            </w:pPr>
            <w:r>
              <w:rPr>
                <w:rFonts w:ascii="Calibri" w:hAnsi="Calibri"/>
                <w:sz w:val="20"/>
                <w:lang w:eastAsia="en-NZ"/>
              </w:rPr>
              <w:t>[s 599 Education and Training Act 2020; and relevant; Collective Employment Agreement].</w:t>
            </w:r>
          </w:p>
          <w:tbl>
            <w:tblPr>
              <w:tblW w:w="443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335"/>
              <w:gridCol w:w="9677"/>
            </w:tblGrid>
            <w:tr w:rsidR="00822C0D" w14:paraId="61480FAB" w14:textId="77777777" w:rsidTr="00822C0D">
              <w:tc>
                <w:tcPr>
                  <w:tcW w:w="1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7429FF" w14:textId="77777777" w:rsidR="00822C0D" w:rsidRDefault="008D12F1" w:rsidP="00822C0D">
                  <w:pPr>
                    <w:spacing w:before="83" w:line="252" w:lineRule="auto"/>
                    <w:rPr>
                      <w:rFonts w:ascii="Calibri" w:hAnsi="Calibri"/>
                      <w:sz w:val="20"/>
                      <w:szCs w:val="20"/>
                      <w:lang w:eastAsia="en-NZ"/>
                    </w:rPr>
                  </w:pPr>
                  <w:hyperlink r:id="rId42" w:history="1">
                    <w:r w:rsidR="00822C0D">
                      <w:rPr>
                        <w:rStyle w:val="Hyperlink"/>
                        <w:sz w:val="20"/>
                        <w:szCs w:val="20"/>
                        <w:lang w:eastAsia="en-NZ"/>
                      </w:rPr>
                      <w:t>599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7C0E93" w14:textId="77777777" w:rsidR="00822C0D" w:rsidRDefault="008D12F1" w:rsidP="00822C0D">
                  <w:pPr>
                    <w:spacing w:before="83" w:line="252" w:lineRule="auto"/>
                    <w:rPr>
                      <w:color w:val="0000FF"/>
                      <w:sz w:val="20"/>
                      <w:szCs w:val="20"/>
                      <w:lang w:eastAsia="en-NZ"/>
                    </w:rPr>
                  </w:pPr>
                  <w:hyperlink r:id="rId43" w:history="1">
                    <w:r w:rsidR="00822C0D">
                      <w:rPr>
                        <w:rStyle w:val="Hyperlink"/>
                        <w:sz w:val="20"/>
                        <w:szCs w:val="20"/>
                        <w:lang w:eastAsia="en-NZ"/>
                      </w:rPr>
                      <w:t>Performance of teachers</w:t>
                    </w:r>
                  </w:hyperlink>
                </w:p>
              </w:tc>
            </w:tr>
          </w:tbl>
          <w:p w14:paraId="7125E7C1" w14:textId="3A746968" w:rsidR="00652F1A" w:rsidRPr="00340D81" w:rsidRDefault="00652F1A" w:rsidP="00652F1A">
            <w:pPr>
              <w:pStyle w:val="Text"/>
              <w:spacing w:before="120" w:after="12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1" w:type="dxa"/>
          </w:tcPr>
          <w:p w14:paraId="5638C794" w14:textId="77777777" w:rsidR="00652F1A" w:rsidRPr="001E10F1" w:rsidRDefault="00652F1A" w:rsidP="00652F1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5B4D6B54" w14:textId="77777777" w:rsidR="00652F1A" w:rsidRPr="001E10F1" w:rsidRDefault="00652F1A" w:rsidP="00652F1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441B6B4E" w14:textId="77777777" w:rsidR="00652F1A" w:rsidRPr="001E10F1" w:rsidRDefault="00652F1A" w:rsidP="00652F1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047A3235" w14:textId="5100DBE7" w:rsidR="0028502A" w:rsidRPr="005050F1" w:rsidRDefault="0028502A" w:rsidP="0028502A">
      <w:pPr>
        <w:pStyle w:val="Heading1"/>
      </w:pPr>
      <w:bookmarkStart w:id="12" w:name="_Toc49936718"/>
      <w:bookmarkStart w:id="13" w:name="_Toc62815745"/>
      <w:r>
        <w:lastRenderedPageBreak/>
        <w:t>The Principal’s annual appraisal 4</w:t>
      </w:r>
      <w:bookmarkEnd w:id="12"/>
      <w:r w:rsidR="000619CC">
        <w:t xml:space="preserve"> </w:t>
      </w:r>
      <w:r w:rsidR="008D12F1">
        <w:t xml:space="preserve"> </w:t>
      </w:r>
      <w:bookmarkEnd w:id="13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28502A" w14:paraId="6790B13E" w14:textId="77777777" w:rsidTr="00494969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5EE4C540" w14:textId="77777777" w:rsidR="0028502A" w:rsidRPr="00D80E2A" w:rsidRDefault="0028502A" w:rsidP="00E9702A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09700DF8" w14:textId="77777777" w:rsidR="0028502A" w:rsidRPr="004A0A70" w:rsidRDefault="0028502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2AD4997E" w14:textId="77777777" w:rsidR="0028502A" w:rsidRPr="004A0A70" w:rsidRDefault="0028502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39114BAB" w14:textId="77777777" w:rsidR="0028502A" w:rsidRPr="004A0A70" w:rsidRDefault="0028502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28502A" w14:paraId="67F81240" w14:textId="77777777" w:rsidTr="00494969">
        <w:tc>
          <w:tcPr>
            <w:tcW w:w="560" w:type="dxa"/>
            <w:shd w:val="clear" w:color="auto" w:fill="E9F1EF" w:themeFill="accent6" w:themeFillTint="33"/>
          </w:tcPr>
          <w:p w14:paraId="34EC745C" w14:textId="77777777" w:rsidR="0028502A" w:rsidRPr="0028502A" w:rsidRDefault="0028502A" w:rsidP="0028502A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28502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503" w:type="dxa"/>
          </w:tcPr>
          <w:p w14:paraId="6E38C948" w14:textId="77777777" w:rsidR="0028502A" w:rsidRPr="0028502A" w:rsidRDefault="0028502A" w:rsidP="0028502A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28502A">
              <w:rPr>
                <w:rFonts w:asciiTheme="minorHAnsi" w:hAnsiTheme="minorHAnsi"/>
                <w:sz w:val="20"/>
              </w:rPr>
              <w:t xml:space="preserve">Annually assessed the principal against all the professional standards for </w:t>
            </w:r>
            <w:proofErr w:type="gramStart"/>
            <w:r w:rsidRPr="0028502A">
              <w:rPr>
                <w:rFonts w:asciiTheme="minorHAnsi" w:hAnsiTheme="minorHAnsi"/>
                <w:sz w:val="20"/>
              </w:rPr>
              <w:t>principals?</w:t>
            </w:r>
            <w:proofErr w:type="gramEnd"/>
            <w:r w:rsidRPr="0028502A">
              <w:rPr>
                <w:rFonts w:asciiTheme="minorHAnsi" w:hAnsiTheme="minorHAnsi"/>
                <w:sz w:val="20"/>
              </w:rPr>
              <w:t xml:space="preserve"> </w:t>
            </w:r>
            <w:r w:rsidRPr="0028502A">
              <w:rPr>
                <w:rFonts w:asciiTheme="minorHAnsi" w:hAnsiTheme="minorHAnsi"/>
                <w:iCs/>
                <w:sz w:val="20"/>
              </w:rPr>
              <w:t>[NZ Ed Gazette:  and relevant employment agreement].</w:t>
            </w:r>
          </w:p>
        </w:tc>
        <w:tc>
          <w:tcPr>
            <w:tcW w:w="501" w:type="dxa"/>
          </w:tcPr>
          <w:p w14:paraId="138EC386" w14:textId="77777777" w:rsidR="0028502A" w:rsidRPr="001E10F1" w:rsidRDefault="0028502A" w:rsidP="00285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66EFA29A" w14:textId="77777777" w:rsidR="0028502A" w:rsidRPr="001E10F1" w:rsidRDefault="0028502A" w:rsidP="00285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123DCD42" w14:textId="77777777" w:rsidR="0028502A" w:rsidRPr="001E10F1" w:rsidRDefault="0028502A" w:rsidP="00285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15F1783C" w14:textId="77777777" w:rsidR="007325EC" w:rsidRDefault="007325EC"/>
    <w:p w14:paraId="320EF85F" w14:textId="19F6B39B" w:rsidR="000D138B" w:rsidRPr="005050F1" w:rsidRDefault="000D138B" w:rsidP="000D138B">
      <w:pPr>
        <w:pStyle w:val="Heading1"/>
      </w:pPr>
      <w:bookmarkStart w:id="14" w:name="_Toc62815746"/>
      <w:r w:rsidRPr="0071028D">
        <w:t xml:space="preserve">Protected Disclosures 11  </w:t>
      </w:r>
      <w:r w:rsidR="008D12F1">
        <w:t xml:space="preserve"> </w:t>
      </w:r>
      <w:bookmarkEnd w:id="14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0D138B" w14:paraId="4C23225A" w14:textId="77777777" w:rsidTr="00494969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035B1C86" w14:textId="77777777" w:rsidR="000D138B" w:rsidRPr="00D80E2A" w:rsidRDefault="000D138B" w:rsidP="00B17D7F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5961E325" w14:textId="77777777" w:rsidR="000D138B" w:rsidRPr="004A0A70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1B53F190" w14:textId="77777777" w:rsidR="000D138B" w:rsidRPr="004A0A70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7E66E319" w14:textId="77777777" w:rsidR="000D138B" w:rsidRPr="004A0A70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0D138B" w14:paraId="6A68B48C" w14:textId="77777777" w:rsidTr="00494969">
        <w:tc>
          <w:tcPr>
            <w:tcW w:w="560" w:type="dxa"/>
            <w:shd w:val="clear" w:color="auto" w:fill="E9F1EF" w:themeFill="accent6" w:themeFillTint="33"/>
          </w:tcPr>
          <w:p w14:paraId="7AE9C2AA" w14:textId="77777777" w:rsidR="000D138B" w:rsidRPr="0071028D" w:rsidRDefault="000D138B" w:rsidP="00B17D7F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71028D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11503" w:type="dxa"/>
          </w:tcPr>
          <w:p w14:paraId="74DDEA24" w14:textId="77777777" w:rsidR="000D138B" w:rsidRPr="0071028D" w:rsidRDefault="000D138B" w:rsidP="00B17D7F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71028D">
              <w:rPr>
                <w:rFonts w:asciiTheme="minorHAnsi" w:hAnsiTheme="minorHAnsi"/>
              </w:rPr>
              <w:t>Implemented appropriate internal procedures for receiving and dealing with information about serious wrongdoing under the Protected Disclosures Act 2000? [</w:t>
            </w:r>
            <w:r w:rsidRPr="0071028D">
              <w:rPr>
                <w:rFonts w:asciiTheme="minorHAnsi" w:hAnsiTheme="minorHAnsi"/>
                <w:i/>
                <w:iCs/>
              </w:rPr>
              <w:t>Please note this Act will be repealed and replaced by a new Act</w:t>
            </w:r>
            <w:r w:rsidRPr="0071028D">
              <w:rPr>
                <w:rFonts w:asciiTheme="minorHAnsi" w:hAnsiTheme="minorHAnsi"/>
              </w:rPr>
              <w:t>]</w:t>
            </w:r>
          </w:p>
        </w:tc>
        <w:tc>
          <w:tcPr>
            <w:tcW w:w="501" w:type="dxa"/>
          </w:tcPr>
          <w:p w14:paraId="006C66FC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59B7876B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70D304B6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4DE35791" w14:textId="77777777" w:rsidR="000D138B" w:rsidRDefault="000D138B" w:rsidP="000D138B"/>
    <w:p w14:paraId="2F44D8BB" w14:textId="0BDF70A7" w:rsidR="000D138B" w:rsidRDefault="000D138B">
      <w:pPr>
        <w:sectPr w:rsidR="000D138B" w:rsidSect="009058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5BC7E3" w14:textId="54BA5934" w:rsidR="000D138B" w:rsidRPr="005050F1" w:rsidRDefault="000D138B" w:rsidP="000D138B">
      <w:pPr>
        <w:pStyle w:val="Heading1"/>
      </w:pPr>
      <w:bookmarkStart w:id="15" w:name="_Toc62815747"/>
      <w:r>
        <w:lastRenderedPageBreak/>
        <w:t>Payroll records 6</w:t>
      </w:r>
      <w:r w:rsidR="000619CC">
        <w:t xml:space="preserve"> </w:t>
      </w:r>
      <w:r w:rsidR="008D12F1">
        <w:t xml:space="preserve"> </w:t>
      </w:r>
      <w:bookmarkEnd w:id="15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0D138B" w14:paraId="7BC79EF6" w14:textId="77777777" w:rsidTr="00494969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771037D6" w14:textId="77777777" w:rsidR="000D138B" w:rsidRPr="00D80E2A" w:rsidRDefault="000D138B" w:rsidP="00B17D7F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443B0DEB" w14:textId="77777777" w:rsidR="000D138B" w:rsidRPr="004A0A70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2891CFE8" w14:textId="77777777" w:rsidR="000D138B" w:rsidRPr="004A0A70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7CE1C175" w14:textId="77777777" w:rsidR="000D138B" w:rsidRPr="004A0A70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0D138B" w14:paraId="54EBD83C" w14:textId="77777777" w:rsidTr="00494969">
        <w:tc>
          <w:tcPr>
            <w:tcW w:w="560" w:type="dxa"/>
            <w:shd w:val="clear" w:color="auto" w:fill="E9F1EF" w:themeFill="accent6" w:themeFillTint="33"/>
          </w:tcPr>
          <w:p w14:paraId="342A2E24" w14:textId="77777777" w:rsidR="000D138B" w:rsidRPr="001D758E" w:rsidRDefault="000D138B" w:rsidP="00B17D7F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D758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1503" w:type="dxa"/>
          </w:tcPr>
          <w:p w14:paraId="5138EEC6" w14:textId="77777777" w:rsidR="000D138B" w:rsidRDefault="000D138B" w:rsidP="00B17D7F">
            <w:pPr>
              <w:rPr>
                <w:color w:val="0000FF"/>
                <w:sz w:val="20"/>
                <w:szCs w:val="20"/>
                <w:lang w:eastAsia="en-NZ"/>
              </w:rPr>
            </w:pPr>
            <w:r w:rsidRPr="001D758E">
              <w:rPr>
                <w:sz w:val="20"/>
                <w:szCs w:val="20"/>
              </w:rPr>
              <w:t>Kept all records for the purposes of the payroll service and given the Secretary for Education all information in accordance with section 578 of the Education and Training Act 2020?</w:t>
            </w:r>
            <w:r w:rsidRPr="001D758E">
              <w:rPr>
                <w:sz w:val="20"/>
                <w:szCs w:val="20"/>
              </w:rPr>
              <w:br/>
            </w:r>
            <w:r w:rsidRPr="001D758E">
              <w:rPr>
                <w:sz w:val="20"/>
                <w:szCs w:val="20"/>
              </w:rPr>
              <w:br/>
            </w:r>
            <w:hyperlink r:id="rId44" w:history="1">
              <w:r w:rsidRPr="001D758E">
                <w:rPr>
                  <w:color w:val="0000FF"/>
                  <w:sz w:val="20"/>
                  <w:szCs w:val="20"/>
                  <w:lang w:eastAsia="en-NZ"/>
                </w:rPr>
                <w:t>578</w:t>
              </w:r>
            </w:hyperlink>
            <w:r w:rsidRPr="001D758E">
              <w:rPr>
                <w:color w:val="0000FF"/>
                <w:sz w:val="20"/>
                <w:szCs w:val="20"/>
                <w:lang w:eastAsia="en-NZ"/>
              </w:rPr>
              <w:t xml:space="preserve"> </w:t>
            </w:r>
            <w:hyperlink r:id="rId45" w:history="1">
              <w:r w:rsidRPr="001D758E">
                <w:rPr>
                  <w:color w:val="0000FF"/>
                  <w:sz w:val="20"/>
                  <w:szCs w:val="20"/>
                  <w:lang w:eastAsia="en-NZ"/>
                </w:rPr>
                <w:t>Payroll service</w:t>
              </w:r>
            </w:hyperlink>
          </w:p>
          <w:p w14:paraId="102CF7A7" w14:textId="77777777" w:rsidR="000D138B" w:rsidRPr="001D758E" w:rsidRDefault="000D138B" w:rsidP="00B17D7F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8256D5A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3EE0EB90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55B9D34B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  <w:tr w:rsidR="000D138B" w14:paraId="038FFC1E" w14:textId="77777777" w:rsidTr="00494969">
        <w:tc>
          <w:tcPr>
            <w:tcW w:w="560" w:type="dxa"/>
            <w:shd w:val="clear" w:color="auto" w:fill="E9F1EF" w:themeFill="accent6" w:themeFillTint="33"/>
          </w:tcPr>
          <w:p w14:paraId="76D35687" w14:textId="77777777" w:rsidR="000D138B" w:rsidRPr="0071028D" w:rsidRDefault="000D138B" w:rsidP="00B17D7F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24AB65FE" w14:textId="77777777" w:rsidR="000D138B" w:rsidRPr="001D758E" w:rsidRDefault="000D138B" w:rsidP="00B17D7F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D758E">
              <w:rPr>
                <w:rFonts w:asciiTheme="minorHAnsi" w:hAnsiTheme="minorHAnsi"/>
                <w:sz w:val="20"/>
              </w:rPr>
              <w:t>Complied with section 580 of the Education and Training Act 2020 and the relevant Principals’ Collective Agreement (</w:t>
            </w:r>
            <w:proofErr w:type="gramStart"/>
            <w:r w:rsidRPr="001D758E">
              <w:rPr>
                <w:rFonts w:asciiTheme="minorHAnsi" w:hAnsiTheme="minorHAnsi"/>
                <w:sz w:val="20"/>
              </w:rPr>
              <w:t>i.e.</w:t>
            </w:r>
            <w:proofErr w:type="gramEnd"/>
            <w:r w:rsidRPr="001D758E">
              <w:rPr>
                <w:rFonts w:asciiTheme="minorHAnsi" w:hAnsiTheme="minorHAnsi"/>
                <w:sz w:val="20"/>
              </w:rPr>
              <w:t xml:space="preserve"> sought the written consent of the Secretary for Education) before paying any additional remuneration to the principal?</w:t>
            </w:r>
          </w:p>
          <w:p w14:paraId="5E7478F2" w14:textId="77777777" w:rsidR="000D138B" w:rsidRPr="001D758E" w:rsidRDefault="008D12F1" w:rsidP="00B17D7F">
            <w:pPr>
              <w:pStyle w:val="Text"/>
              <w:spacing w:before="120" w:after="120"/>
              <w:jc w:val="left"/>
              <w:rPr>
                <w:rFonts w:asciiTheme="minorHAnsi" w:hAnsiTheme="minorHAnsi"/>
              </w:rPr>
            </w:pPr>
            <w:hyperlink r:id="rId46" w:history="1">
              <w:r w:rsidR="000D138B" w:rsidRPr="001D758E">
                <w:rPr>
                  <w:rStyle w:val="Hyperlink"/>
                  <w:rFonts w:asciiTheme="minorHAnsi" w:hAnsiTheme="minorHAnsi"/>
                  <w:sz w:val="20"/>
                  <w:u w:val="none"/>
                  <w:lang w:val="en-NZ"/>
                </w:rPr>
                <w:t xml:space="preserve">580 Restrictions on payment of salaries of regular teachers by boards of </w:t>
              </w:r>
              <w:proofErr w:type="spellStart"/>
              <w:r w:rsidR="000D138B" w:rsidRPr="001D758E">
                <w:rPr>
                  <w:rStyle w:val="Hyperlink"/>
                  <w:rFonts w:asciiTheme="minorHAnsi" w:hAnsiTheme="minorHAnsi"/>
                  <w:sz w:val="20"/>
                  <w:u w:val="none"/>
                  <w:lang w:val="en-NZ"/>
                </w:rPr>
                <w:t>payrolled</w:t>
              </w:r>
              <w:proofErr w:type="spellEnd"/>
              <w:r w:rsidR="000D138B" w:rsidRPr="001D758E">
                <w:rPr>
                  <w:rStyle w:val="Hyperlink"/>
                  <w:rFonts w:asciiTheme="minorHAnsi" w:hAnsiTheme="minorHAnsi"/>
                  <w:sz w:val="20"/>
                  <w:u w:val="none"/>
                  <w:lang w:val="en-NZ"/>
                </w:rPr>
                <w:t xml:space="preserve"> schools</w:t>
              </w:r>
            </w:hyperlink>
          </w:p>
        </w:tc>
        <w:tc>
          <w:tcPr>
            <w:tcW w:w="501" w:type="dxa"/>
          </w:tcPr>
          <w:p w14:paraId="3550B42E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741D2180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1C9B0EB5" w14:textId="77777777" w:rsidR="000D138B" w:rsidRPr="001E10F1" w:rsidRDefault="000D138B" w:rsidP="00B17D7F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1E07FCF0" w14:textId="14F2D4DA" w:rsidR="000D138B" w:rsidRDefault="000D138B" w:rsidP="000D138B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0D138B" w14:paraId="3029AFC2" w14:textId="77777777" w:rsidTr="00494969">
        <w:trPr>
          <w:trHeight w:val="254"/>
        </w:trPr>
        <w:tc>
          <w:tcPr>
            <w:tcW w:w="13928" w:type="dxa"/>
            <w:shd w:val="clear" w:color="auto" w:fill="D3E4E0" w:themeFill="accent6" w:themeFillTint="66"/>
          </w:tcPr>
          <w:p w14:paraId="4C5D3E3E" w14:textId="59412022" w:rsidR="000D138B" w:rsidRDefault="009E5BB6" w:rsidP="00B17D7F">
            <w:r>
              <w:rPr>
                <w:b/>
                <w:sz w:val="20"/>
              </w:rPr>
              <w:t>Further thoughts</w:t>
            </w:r>
          </w:p>
        </w:tc>
      </w:tr>
      <w:tr w:rsidR="000D138B" w14:paraId="5982C105" w14:textId="77777777" w:rsidTr="00494969">
        <w:trPr>
          <w:trHeight w:val="257"/>
        </w:trPr>
        <w:tc>
          <w:tcPr>
            <w:tcW w:w="13928" w:type="dxa"/>
            <w:shd w:val="clear" w:color="auto" w:fill="E9F1EF" w:themeFill="accent6" w:themeFillTint="33"/>
          </w:tcPr>
          <w:p w14:paraId="4A487A25" w14:textId="3E7077CC" w:rsidR="000D138B" w:rsidRPr="007325EC" w:rsidRDefault="00387972" w:rsidP="00B17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about these </w:t>
            </w:r>
            <w:proofErr w:type="gramStart"/>
            <w:r>
              <w:rPr>
                <w:sz w:val="20"/>
                <w:szCs w:val="20"/>
              </w:rPr>
              <w:t>personnel areas as a whole, does</w:t>
            </w:r>
            <w:proofErr w:type="gramEnd"/>
            <w:r>
              <w:rPr>
                <w:sz w:val="20"/>
                <w:szCs w:val="20"/>
              </w:rPr>
              <w:t xml:space="preserve"> the board see any areas for improvement?</w:t>
            </w:r>
          </w:p>
        </w:tc>
      </w:tr>
      <w:tr w:rsidR="000D138B" w14:paraId="45406231" w14:textId="77777777" w:rsidTr="00494969">
        <w:trPr>
          <w:trHeight w:val="3225"/>
        </w:trPr>
        <w:tc>
          <w:tcPr>
            <w:tcW w:w="13928" w:type="dxa"/>
          </w:tcPr>
          <w:p w14:paraId="51DA72BA" w14:textId="77777777" w:rsidR="000D138B" w:rsidRDefault="000D138B" w:rsidP="00B17D7F"/>
          <w:p w14:paraId="2104E280" w14:textId="77777777" w:rsidR="000D138B" w:rsidRDefault="000D138B" w:rsidP="00B17D7F"/>
          <w:p w14:paraId="5B2F25B3" w14:textId="77777777" w:rsidR="000D138B" w:rsidRDefault="000D138B" w:rsidP="00B17D7F"/>
          <w:p w14:paraId="6115158C" w14:textId="77777777" w:rsidR="000D138B" w:rsidRDefault="000D138B" w:rsidP="00B17D7F"/>
          <w:p w14:paraId="72A4726D" w14:textId="77777777" w:rsidR="000D138B" w:rsidRDefault="000D138B" w:rsidP="00B17D7F"/>
          <w:p w14:paraId="489F19D9" w14:textId="77777777" w:rsidR="000D138B" w:rsidRDefault="000D138B" w:rsidP="00B17D7F"/>
          <w:p w14:paraId="578B03F1" w14:textId="77777777" w:rsidR="000D138B" w:rsidRDefault="000D138B" w:rsidP="00B17D7F"/>
          <w:p w14:paraId="5AB54675" w14:textId="77777777" w:rsidR="000D138B" w:rsidRDefault="000D138B" w:rsidP="00B17D7F"/>
          <w:p w14:paraId="3EDCAFB3" w14:textId="77777777" w:rsidR="000D138B" w:rsidRDefault="000D138B" w:rsidP="00B17D7F"/>
          <w:p w14:paraId="37C5A03B" w14:textId="77777777" w:rsidR="000D138B" w:rsidRDefault="000D138B" w:rsidP="00B17D7F"/>
          <w:p w14:paraId="3C63B246" w14:textId="77777777" w:rsidR="000D138B" w:rsidRDefault="000D138B" w:rsidP="00B17D7F"/>
          <w:p w14:paraId="3B29D161" w14:textId="77777777" w:rsidR="000D138B" w:rsidRDefault="000D138B" w:rsidP="00B17D7F"/>
          <w:p w14:paraId="44DCF7B3" w14:textId="77777777" w:rsidR="000D138B" w:rsidRDefault="000D138B" w:rsidP="00B17D7F"/>
          <w:p w14:paraId="585D484D" w14:textId="77777777" w:rsidR="000D138B" w:rsidRDefault="000D138B" w:rsidP="00B17D7F"/>
          <w:p w14:paraId="0833C605" w14:textId="1F0CFF04" w:rsidR="000D138B" w:rsidRPr="00017509" w:rsidRDefault="000D138B" w:rsidP="00B17D7F"/>
        </w:tc>
      </w:tr>
    </w:tbl>
    <w:p w14:paraId="2ABB87A9" w14:textId="20F1FF64" w:rsidR="000D138B" w:rsidRDefault="000D138B" w:rsidP="000D138B"/>
    <w:sectPr w:rsidR="000D138B" w:rsidSect="009058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4B3C" w14:textId="77777777" w:rsidR="0096509E" w:rsidRDefault="0096509E" w:rsidP="000B5DB0">
      <w:pPr>
        <w:spacing w:after="0" w:line="240" w:lineRule="auto"/>
      </w:pPr>
      <w:r>
        <w:separator/>
      </w:r>
    </w:p>
  </w:endnote>
  <w:endnote w:type="continuationSeparator" w:id="0">
    <w:p w14:paraId="481DF44B" w14:textId="77777777" w:rsidR="0096509E" w:rsidRDefault="0096509E" w:rsidP="000B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09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EA6D6" w14:textId="682DFB0A" w:rsidR="000D138B" w:rsidRDefault="000D1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0D641" w14:textId="0826B801" w:rsidR="000B5DB0" w:rsidRDefault="000D138B">
    <w:pPr>
      <w:pStyle w:val="Footer"/>
    </w:pPr>
    <w:r>
      <w:t>School Self Audit Checklist and Assurance Statement - Personnel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C4EB" w14:textId="77777777" w:rsidR="0096509E" w:rsidRDefault="0096509E" w:rsidP="000B5DB0">
      <w:pPr>
        <w:spacing w:after="0" w:line="240" w:lineRule="auto"/>
      </w:pPr>
      <w:r>
        <w:separator/>
      </w:r>
    </w:p>
  </w:footnote>
  <w:footnote w:type="continuationSeparator" w:id="0">
    <w:p w14:paraId="07936B7B" w14:textId="77777777" w:rsidR="0096509E" w:rsidRDefault="0096509E" w:rsidP="000B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0D19" w14:textId="5CA2071F" w:rsidR="000B5DB0" w:rsidRDefault="000B5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83B"/>
    <w:multiLevelType w:val="multilevel"/>
    <w:tmpl w:val="43741142"/>
    <w:lvl w:ilvl="0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D52148"/>
    <w:multiLevelType w:val="multilevel"/>
    <w:tmpl w:val="43741142"/>
    <w:lvl w:ilvl="0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335F4D"/>
    <w:multiLevelType w:val="hybridMultilevel"/>
    <w:tmpl w:val="1438EABC"/>
    <w:lvl w:ilvl="0" w:tplc="C48E2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C84"/>
    <w:multiLevelType w:val="hybridMultilevel"/>
    <w:tmpl w:val="4712CE9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AD4"/>
    <w:multiLevelType w:val="hybridMultilevel"/>
    <w:tmpl w:val="34A4D6A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27E2"/>
    <w:multiLevelType w:val="hybridMultilevel"/>
    <w:tmpl w:val="9C0273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5081"/>
    <w:multiLevelType w:val="hybridMultilevel"/>
    <w:tmpl w:val="7B307B7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321A"/>
    <w:multiLevelType w:val="hybridMultilevel"/>
    <w:tmpl w:val="0D2A560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A1C78"/>
    <w:multiLevelType w:val="hybridMultilevel"/>
    <w:tmpl w:val="C61EF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7705"/>
    <w:multiLevelType w:val="hybridMultilevel"/>
    <w:tmpl w:val="AEF43B2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4CF8"/>
    <w:multiLevelType w:val="multilevel"/>
    <w:tmpl w:val="43741142"/>
    <w:lvl w:ilvl="0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49724D9"/>
    <w:multiLevelType w:val="hybridMultilevel"/>
    <w:tmpl w:val="837E1E1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ACD"/>
    <w:multiLevelType w:val="multilevel"/>
    <w:tmpl w:val="776AA080"/>
    <w:lvl w:ilvl="0">
      <w:start w:val="1"/>
      <w:numFmt w:val="low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Roman"/>
      <w:lvlText w:val="%2)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6174FE"/>
    <w:multiLevelType w:val="hybridMultilevel"/>
    <w:tmpl w:val="FB6CF8A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75164"/>
    <w:multiLevelType w:val="hybridMultilevel"/>
    <w:tmpl w:val="77905BB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143A4"/>
    <w:multiLevelType w:val="hybridMultilevel"/>
    <w:tmpl w:val="662AFA2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C4661"/>
    <w:multiLevelType w:val="hybridMultilevel"/>
    <w:tmpl w:val="52EEEAB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42D36"/>
    <w:multiLevelType w:val="hybridMultilevel"/>
    <w:tmpl w:val="77905BB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147AF"/>
    <w:multiLevelType w:val="hybridMultilevel"/>
    <w:tmpl w:val="1438EABC"/>
    <w:lvl w:ilvl="0" w:tplc="C48E2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93235"/>
    <w:multiLevelType w:val="hybridMultilevel"/>
    <w:tmpl w:val="837E1E1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7"/>
  </w:num>
  <w:num w:numId="9">
    <w:abstractNumId w:val="14"/>
  </w:num>
  <w:num w:numId="10">
    <w:abstractNumId w:val="1"/>
  </w:num>
  <w:num w:numId="11">
    <w:abstractNumId w:val="11"/>
  </w:num>
  <w:num w:numId="12">
    <w:abstractNumId w:val="19"/>
  </w:num>
  <w:num w:numId="13">
    <w:abstractNumId w:val="2"/>
  </w:num>
  <w:num w:numId="14">
    <w:abstractNumId w:val="18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22"/>
    <w:rsid w:val="00026E72"/>
    <w:rsid w:val="000619CC"/>
    <w:rsid w:val="0007667D"/>
    <w:rsid w:val="000B5DB0"/>
    <w:rsid w:val="000D138B"/>
    <w:rsid w:val="00132FC9"/>
    <w:rsid w:val="001C4422"/>
    <w:rsid w:val="001D758E"/>
    <w:rsid w:val="00250B3C"/>
    <w:rsid w:val="0028502A"/>
    <w:rsid w:val="0033311F"/>
    <w:rsid w:val="00340D81"/>
    <w:rsid w:val="00380C4A"/>
    <w:rsid w:val="00387972"/>
    <w:rsid w:val="00421FBC"/>
    <w:rsid w:val="00494969"/>
    <w:rsid w:val="004A5CF6"/>
    <w:rsid w:val="0052645B"/>
    <w:rsid w:val="00554665"/>
    <w:rsid w:val="00556914"/>
    <w:rsid w:val="00561FB7"/>
    <w:rsid w:val="00596781"/>
    <w:rsid w:val="00652F1A"/>
    <w:rsid w:val="00696498"/>
    <w:rsid w:val="006D5FD1"/>
    <w:rsid w:val="0071028D"/>
    <w:rsid w:val="007325EC"/>
    <w:rsid w:val="00822C0D"/>
    <w:rsid w:val="008D12F1"/>
    <w:rsid w:val="00905822"/>
    <w:rsid w:val="0096509E"/>
    <w:rsid w:val="0099564B"/>
    <w:rsid w:val="009968E1"/>
    <w:rsid w:val="009D03FE"/>
    <w:rsid w:val="009E5BB6"/>
    <w:rsid w:val="00A21096"/>
    <w:rsid w:val="00AA7D75"/>
    <w:rsid w:val="00AE04D3"/>
    <w:rsid w:val="00AF5819"/>
    <w:rsid w:val="00AF7D5C"/>
    <w:rsid w:val="00B35FCD"/>
    <w:rsid w:val="00C97334"/>
    <w:rsid w:val="00CA44BA"/>
    <w:rsid w:val="00CF17BF"/>
    <w:rsid w:val="00D0484C"/>
    <w:rsid w:val="00D53BD9"/>
    <w:rsid w:val="00D653CD"/>
    <w:rsid w:val="00E01A04"/>
    <w:rsid w:val="00E16EEF"/>
    <w:rsid w:val="00E32B6A"/>
    <w:rsid w:val="00E41D51"/>
    <w:rsid w:val="00EF7833"/>
    <w:rsid w:val="00F35992"/>
    <w:rsid w:val="00F423A1"/>
    <w:rsid w:val="00F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1D261"/>
  <w15:chartTrackingRefBased/>
  <w15:docId w15:val="{4EBB1241-7906-4BE6-B8B5-1C078ACB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822"/>
  </w:style>
  <w:style w:type="paragraph" w:styleId="Heading1">
    <w:name w:val="heading 1"/>
    <w:basedOn w:val="Normal"/>
    <w:next w:val="Normal"/>
    <w:link w:val="Heading1Char"/>
    <w:uiPriority w:val="9"/>
    <w:qFormat/>
    <w:rsid w:val="00905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19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A19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66B66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8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822"/>
    <w:rPr>
      <w:rFonts w:asciiTheme="majorHAnsi" w:eastAsiaTheme="majorEastAsia" w:hAnsiTheme="majorHAnsi" w:cstheme="majorBidi"/>
      <w:color w:val="39A199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582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5822"/>
    <w:pPr>
      <w:spacing w:after="10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rsid w:val="009058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22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8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90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5822"/>
  </w:style>
  <w:style w:type="table" w:styleId="TableGrid">
    <w:name w:val="Table Grid"/>
    <w:basedOn w:val="TableNormal"/>
    <w:uiPriority w:val="39"/>
    <w:rsid w:val="0090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905822"/>
    <w:pPr>
      <w:tabs>
        <w:tab w:val="left" w:pos="851"/>
        <w:tab w:val="center" w:pos="4153"/>
        <w:tab w:val="right" w:pos="8306"/>
      </w:tabs>
      <w:spacing w:before="144" w:after="144" w:line="240" w:lineRule="auto"/>
      <w:jc w:val="both"/>
    </w:pPr>
    <w:rPr>
      <w:rFonts w:ascii="Times New Roman Mäori" w:eastAsia="Times New Roman" w:hAnsi="Times New Roman Mäori" w:cstheme="minorHAnsi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905822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822"/>
    <w:rPr>
      <w:rFonts w:eastAsia="Times New Roman" w:cstheme="minorHAnsi"/>
      <w:sz w:val="20"/>
      <w:szCs w:val="20"/>
    </w:rPr>
  </w:style>
  <w:style w:type="paragraph" w:styleId="ListParagraph">
    <w:name w:val="List Paragraph"/>
    <w:aliases w:val="List Paragraph numbered,List Paragraph1,List Bullet indent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905822"/>
    <w:pPr>
      <w:ind w:left="720"/>
      <w:contextualSpacing/>
    </w:pPr>
  </w:style>
  <w:style w:type="character" w:customStyle="1" w:styleId="ListParagraphChar">
    <w:name w:val="List Paragraph Char"/>
    <w:aliases w:val="List Paragraph numbered Char,List Paragraph1 Char,List Bullet indent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locked/>
    <w:rsid w:val="00905822"/>
  </w:style>
  <w:style w:type="character" w:styleId="UnresolvedMention">
    <w:name w:val="Unresolved Mention"/>
    <w:basedOn w:val="DefaultParagraphFont"/>
    <w:uiPriority w:val="99"/>
    <w:semiHidden/>
    <w:unhideWhenUsed/>
    <w:rsid w:val="001D758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B0"/>
  </w:style>
  <w:style w:type="character" w:customStyle="1" w:styleId="Heading2Char">
    <w:name w:val="Heading 2 Char"/>
    <w:basedOn w:val="DefaultParagraphFont"/>
    <w:link w:val="Heading2"/>
    <w:uiPriority w:val="9"/>
    <w:semiHidden/>
    <w:rsid w:val="00B35FCD"/>
    <w:rPr>
      <w:rFonts w:asciiTheme="majorHAnsi" w:eastAsiaTheme="majorEastAsia" w:hAnsiTheme="majorHAnsi" w:cstheme="majorBidi"/>
      <w:color w:val="39A19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FCD"/>
    <w:rPr>
      <w:rFonts w:asciiTheme="majorHAnsi" w:eastAsiaTheme="majorEastAsia" w:hAnsiTheme="majorHAnsi" w:cstheme="majorBidi"/>
      <w:color w:val="266B66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16E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EE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islation.govt.nz/act/public/2020/0038/latest/link.aspx?search=ta_act_E_ac%40ainf%40anif_an%40bn%40rn_25_a&amp;p=1&amp;id=LMS176239" TargetMode="External"/><Relationship Id="rId26" Type="http://schemas.openxmlformats.org/officeDocument/2006/relationships/hyperlink" Target="http://www.legislation.govt.nz/act/public/2020/0038/latest/link.aspx?search=ta_act_E_ac%40ainf%40anif_an%40bn%40rn_25_a&amp;p=1&amp;id=LMS172227" TargetMode="External"/><Relationship Id="rId39" Type="http://schemas.openxmlformats.org/officeDocument/2006/relationships/hyperlink" Target="http://www.legislation.govt.nz/act/public/2020/0038/latest/link.aspx?search=ta_act_E_ac%40ainf%40anif_an%40bn%40rn_25_a&amp;p=1&amp;id=LMS28516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t.nz/act/public/2020/0038/latest/link.aspx?search=ta_act_E_ac%40ainf%40anif_an%40bn%40rn_25_a&amp;p=1&amp;id=LMS172226" TargetMode="External"/><Relationship Id="rId34" Type="http://schemas.openxmlformats.org/officeDocument/2006/relationships/hyperlink" Target="http://www.legislation.govt.nz/act/public/2020/0038/latest/link.aspx?search=ta_act_E_ac%40ainf%40anif_an%40bn%40rn_25_a&amp;p=1&amp;id=LMS176165" TargetMode="External"/><Relationship Id="rId42" Type="http://schemas.openxmlformats.org/officeDocument/2006/relationships/hyperlink" Target="http://www.legislation.govt.nz/act/public/2020/0038/latest/link.aspx?search=ta_act_E_ac%40ainf%40anif_an%40bn%40rn_25_a&amp;p=1&amp;id=LMS267847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legislation.govt.nz/act/public/2020/0038/latest/link.aspx?search=ta_act_E_ac%40ainf%40anif_an%40bn%40rn_25_a&amp;p=1&amp;id=LMS176239" TargetMode="External"/><Relationship Id="rId25" Type="http://schemas.openxmlformats.org/officeDocument/2006/relationships/hyperlink" Target="http://www.legislation.govt.nz/act/public/2020/0038/latest/link.aspx?search=ta_act_E_ac%40ainf%40anif_an%40bn%40rn_25_a&amp;p=1&amp;id=LMS172227" TargetMode="External"/><Relationship Id="rId33" Type="http://schemas.openxmlformats.org/officeDocument/2006/relationships/hyperlink" Target="http://www.legislation.govt.nz/act/public/2020/0038/latest/link.aspx?search=ta_act_E_ac%40ainf%40anif_an%40bn%40rn_25_a&amp;p=1&amp;id=LMS176165" TargetMode="External"/><Relationship Id="rId38" Type="http://schemas.openxmlformats.org/officeDocument/2006/relationships/hyperlink" Target="http://www.legislation.govt.nz/act/public/2020/0038/latest/link.aspx?search=ta_act_E_ac%40ainf%40anif_an%40bn%40rn_25_a&amp;p=1&amp;id=LMS267849" TargetMode="External"/><Relationship Id="rId46" Type="http://schemas.openxmlformats.org/officeDocument/2006/relationships/hyperlink" Target="http://www.legislation.govt.nz/act/public/2020/0038/latest/link.aspx?search=ta_act_E_ac%40ainf%40anif_an%40bn%40rn_25_a&amp;p=1&amp;id=LMS1725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ldrensactionplan.govt.nz/assets/CAP-Uploads/childrens-workforce/Childrens-worker-safety-checking-under-the-Vulnerable-Children-Act-RC-v1-02.pdf" TargetMode="External"/><Relationship Id="rId20" Type="http://schemas.openxmlformats.org/officeDocument/2006/relationships/hyperlink" Target="http://www.legislation.govt.nz/act/public/2020/0038/latest/link.aspx?search=ta_act_E_ac%40ainf%40anif_an%40bn%40rn_25_a&amp;p=1&amp;id=LMS177671" TargetMode="External"/><Relationship Id="rId29" Type="http://schemas.openxmlformats.org/officeDocument/2006/relationships/hyperlink" Target="http://www.legislation.govt.nz/act/public/2020/0038/latest/link.aspx?search=ta_act_E_ac%40ainf%40anif_an%40bn%40rn_25_a&amp;p=1&amp;id=LMS172229" TargetMode="External"/><Relationship Id="rId41" Type="http://schemas.openxmlformats.org/officeDocument/2006/relationships/hyperlink" Target="http://www.legislation.govt.nz/act/public/2020/0038/latest/link.aspx?search=ta_act_E_ac%40ainf%40anif_an%40bn%40rn_25_a&amp;p=1&amp;id=LMS2421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legislation.govt.nz/act/public/2020/0038/latest/link.aspx?search=ta_act_E_ac%40ainf%40anif_an%40bn%40rn_25_a&amp;p=1&amp;id=LMS172226" TargetMode="External"/><Relationship Id="rId32" Type="http://schemas.openxmlformats.org/officeDocument/2006/relationships/hyperlink" Target="http://www.legislation.govt.nz/act/public/2020/0038/latest/whole.html?search=ta_act_E_ac%40ainf%40anif_an%40bn%40rn_25_a&amp;p=1" TargetMode="External"/><Relationship Id="rId37" Type="http://schemas.openxmlformats.org/officeDocument/2006/relationships/hyperlink" Target="http://www.legislation.govt.nz/act/public/2020/0038/latest/link.aspx?search=ta_act_E_ac%40ainf%40anif_an%40bn%40rn_25_a&amp;p=1&amp;id=LMS267849" TargetMode="External"/><Relationship Id="rId40" Type="http://schemas.openxmlformats.org/officeDocument/2006/relationships/hyperlink" Target="http://www.legislation.govt.nz/act/public/2020/0038/latest/link.aspx?search=ta_act_E_ac%40ainf%40anif_an%40bn%40rn_25_a&amp;p=1&amp;id=LMS242159" TargetMode="External"/><Relationship Id="rId45" Type="http://schemas.openxmlformats.org/officeDocument/2006/relationships/hyperlink" Target="http://www.legislation.govt.nz/act/public/2020/0038/latest/link.aspx?search=ta_act_E_ac%40ainf%40anif_an%40bn%40rn_25_a&amp;p=1&amp;id=LMS1725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ildrensactionplan.govt.nz" TargetMode="External"/><Relationship Id="rId23" Type="http://schemas.openxmlformats.org/officeDocument/2006/relationships/hyperlink" Target="http://www.legislation.govt.nz/act/public/2020/0038/latest/link.aspx?search=ta_act_E_ac%40ainf%40anif_an%40bn%40rn_25_a&amp;p=1&amp;id=LMS172226" TargetMode="External"/><Relationship Id="rId28" Type="http://schemas.openxmlformats.org/officeDocument/2006/relationships/hyperlink" Target="http://www.legislation.govt.nz/act/public/2020/0038/latest/link.aspx?search=ta_act_E_ac%40ainf%40anif_an%40bn%40rn_25_a&amp;p=1&amp;id=LMS172228" TargetMode="External"/><Relationship Id="rId36" Type="http://schemas.openxmlformats.org/officeDocument/2006/relationships/hyperlink" Target="http://www.legislation.govt.nz/act/public/2020/0038/latest/link.aspx?search=ta_act_E_ac%40ainf%40anif_an%40bn%40rn_25_a&amp;p=1&amp;id=LMS26784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t.nz/act/public/2020/0038/latest/link.aspx?search=ta_act_E_ac%40ainf%40anif_an%40bn%40rn_25_a&amp;p=1&amp;id=LMS177671" TargetMode="External"/><Relationship Id="rId31" Type="http://schemas.openxmlformats.org/officeDocument/2006/relationships/hyperlink" Target="http://www.legislation.govt.nz/act/public/2020/0038/latest/whole.html?search=ta_act_E_ac%40ainf%40anif_an%40bn%40rn_25_a&amp;p=1" TargetMode="External"/><Relationship Id="rId44" Type="http://schemas.openxmlformats.org/officeDocument/2006/relationships/hyperlink" Target="http://www.legislation.govt.nz/act/public/2020/0038/latest/link.aspx?search=ta_act_E_ac%40ainf%40anif_an%40bn%40rn_25_a&amp;p=1&amp;id=LMS1725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t.nz" TargetMode="External"/><Relationship Id="rId22" Type="http://schemas.openxmlformats.org/officeDocument/2006/relationships/hyperlink" Target="http://www.legislation.govt.nz/act/public/2020/0038/latest/link.aspx?search=ta_act_E_ac%40ainf%40anif_an%40bn%40rn_25_a&amp;p=1&amp;id=LMS172226" TargetMode="External"/><Relationship Id="rId27" Type="http://schemas.openxmlformats.org/officeDocument/2006/relationships/hyperlink" Target="http://www.legislation.govt.nz/act/public/2020/0038/latest/link.aspx?search=ta_act_E_ac%40ainf%40anif_an%40bn%40rn_25_a&amp;p=1&amp;id=LMS172228" TargetMode="External"/><Relationship Id="rId30" Type="http://schemas.openxmlformats.org/officeDocument/2006/relationships/hyperlink" Target="http://www.legislation.govt.nz/act/public/2020/0038/latest/link.aspx?search=ta_act_E_ac%40ainf%40anif_an%40bn%40rn_25_a&amp;p=1&amp;id=LMS172229" TargetMode="External"/><Relationship Id="rId35" Type="http://schemas.openxmlformats.org/officeDocument/2006/relationships/hyperlink" Target="http://www.legislation.govt.nz/act/public/2020/0038/latest/link.aspx?search=ta_act_E_ac%40ainf%40anif_an%40bn%40rn_25_a&amp;p=1&amp;id=LMS267847" TargetMode="External"/><Relationship Id="rId43" Type="http://schemas.openxmlformats.org/officeDocument/2006/relationships/hyperlink" Target="http://www.legislation.govt.nz/act/public/2020/0038/latest/link.aspx?search=ta_act_E_ac%40ainf%40anif_an%40bn%40rn_25_a&amp;p=1&amp;id=LMS26784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RO 2020">
      <a:dk1>
        <a:sysClr val="windowText" lastClr="000000"/>
      </a:dk1>
      <a:lt1>
        <a:srgbClr val="97C7D5"/>
      </a:lt1>
      <a:dk2>
        <a:srgbClr val="00656A"/>
      </a:dk2>
      <a:lt2>
        <a:srgbClr val="009288"/>
      </a:lt2>
      <a:accent1>
        <a:srgbClr val="5EC6BF"/>
      </a:accent1>
      <a:accent2>
        <a:srgbClr val="6773AD"/>
      </a:accent2>
      <a:accent3>
        <a:srgbClr val="96B593"/>
      </a:accent3>
      <a:accent4>
        <a:srgbClr val="C3B681"/>
      </a:accent4>
      <a:accent5>
        <a:srgbClr val="D67467"/>
      </a:accent5>
      <a:accent6>
        <a:srgbClr val="93BD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25047AEDA7E4D8B92A0B55DC6BCE4" ma:contentTypeVersion="13" ma:contentTypeDescription="Create a new document." ma:contentTypeScope="" ma:versionID="6509c6f4178d28a943fc528312a69e6f">
  <xsd:schema xmlns:xsd="http://www.w3.org/2001/XMLSchema" xmlns:xs="http://www.w3.org/2001/XMLSchema" xmlns:p="http://schemas.microsoft.com/office/2006/metadata/properties" xmlns:ns3="5ca3274d-a3f1-446e-bd85-63ea3bca3341" xmlns:ns4="ebb4a40b-978b-4c42-891f-7dafe2f867e5" targetNamespace="http://schemas.microsoft.com/office/2006/metadata/properties" ma:root="true" ma:fieldsID="0cc05e4425c0e3b60812ef74d3badf4f" ns3:_="" ns4:_="">
    <xsd:import namespace="5ca3274d-a3f1-446e-bd85-63ea3bca3341"/>
    <xsd:import namespace="ebb4a40b-978b-4c42-891f-7dafe2f86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274d-a3f1-446e-bd85-63ea3bca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a40b-978b-4c42-891f-7dafe2f8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28C59-1707-4DF9-B4DE-CFB6925B3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E6E4C-01B0-45FB-B932-0A39AAD7A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22DF7-C1A2-430F-A19A-51AA97A98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62CF25-A698-4E2D-A241-652B27A3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274d-a3f1-446e-bd85-63ea3bca3341"/>
    <ds:schemaRef ds:uri="ebb4a40b-978b-4c42-891f-7dafe2f8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2615</Words>
  <Characters>14907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Lafferty</dc:creator>
  <cp:keywords/>
  <dc:description/>
  <cp:lastModifiedBy>Amelia Hunter</cp:lastModifiedBy>
  <cp:revision>2</cp:revision>
  <dcterms:created xsi:type="dcterms:W3CDTF">2021-09-23T04:47:00Z</dcterms:created>
  <dcterms:modified xsi:type="dcterms:W3CDTF">2021-09-23T04:47:00Z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0x010100D0825047AEDA7E4D8B92A0B55DC6BCE4</vt:lpwstr>
  </property>
</Properties>
</file>