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009288" w:themeColor="background2"/>
          <w:bottom w:val="single" w:sz="4" w:space="0" w:color="009288" w:themeColor="background2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442327" w:rsidRPr="00556A85" w14:paraId="3A3AE127" w14:textId="77777777" w:rsidTr="009A3BE5">
        <w:trPr>
          <w:trHeight w:val="548"/>
        </w:trPr>
        <w:tc>
          <w:tcPr>
            <w:tcW w:w="8789" w:type="dxa"/>
          </w:tcPr>
          <w:p w14:paraId="79749428" w14:textId="77777777" w:rsidR="00442327" w:rsidRPr="009A3BE5" w:rsidRDefault="007C3AC5" w:rsidP="009A3BE5">
            <w:pPr>
              <w:pStyle w:val="Heading1"/>
              <w:jc w:val="center"/>
            </w:pPr>
            <w:bookmarkStart w:id="0" w:name="_Toc532886600"/>
            <w:r w:rsidRPr="009A3BE5">
              <w:t>SCHOOL</w:t>
            </w:r>
            <w:r w:rsidR="00442327" w:rsidRPr="009A3BE5">
              <w:t xml:space="preserve"> SELF AUDIT AND ASSURANCE STATEMENT</w:t>
            </w:r>
          </w:p>
          <w:p w14:paraId="4A870E42" w14:textId="1F7227FB" w:rsidR="009A3BE5" w:rsidRPr="009A3BE5" w:rsidRDefault="009A3BE5" w:rsidP="009A3BE5"/>
        </w:tc>
      </w:tr>
    </w:tbl>
    <w:p w14:paraId="7FDC7393" w14:textId="77777777" w:rsidR="00442327" w:rsidRPr="00556A85" w:rsidRDefault="00442327" w:rsidP="00442327"/>
    <w:p w14:paraId="474AC982" w14:textId="77777777" w:rsidR="00442327" w:rsidRPr="00556A85" w:rsidRDefault="00442327" w:rsidP="00442327">
      <w:pPr>
        <w:tabs>
          <w:tab w:val="clear" w:pos="4153"/>
          <w:tab w:val="left" w:pos="1560"/>
        </w:tabs>
        <w:jc w:val="left"/>
      </w:pPr>
      <w:r w:rsidRPr="00556A85">
        <w:t xml:space="preserve">To: </w:t>
      </w:r>
      <w:r w:rsidRPr="00556A85">
        <w:tab/>
        <w:t>The Chief Review Officer</w:t>
      </w:r>
    </w:p>
    <w:p w14:paraId="1B216ADA" w14:textId="77777777" w:rsidR="00442327" w:rsidRPr="00556A85" w:rsidRDefault="00442327" w:rsidP="00442327">
      <w:pPr>
        <w:tabs>
          <w:tab w:val="clear" w:pos="4153"/>
          <w:tab w:val="left" w:pos="1560"/>
        </w:tabs>
        <w:jc w:val="left"/>
      </w:pPr>
      <w:r w:rsidRPr="00556A85">
        <w:tab/>
        <w:t>Education Review Office</w:t>
      </w:r>
    </w:p>
    <w:p w14:paraId="6C0CF2E0" w14:textId="77777777" w:rsidR="00442327" w:rsidRPr="00556A85" w:rsidRDefault="00442327" w:rsidP="00442327">
      <w:pPr>
        <w:tabs>
          <w:tab w:val="clear" w:pos="4153"/>
          <w:tab w:val="left" w:pos="1560"/>
        </w:tabs>
        <w:jc w:val="left"/>
      </w:pPr>
    </w:p>
    <w:p w14:paraId="47CE78BB" w14:textId="77777777" w:rsidR="00442327" w:rsidRPr="00556A85" w:rsidRDefault="00442327" w:rsidP="00442327">
      <w:pPr>
        <w:tabs>
          <w:tab w:val="clear" w:pos="4153"/>
          <w:tab w:val="left" w:pos="1560"/>
        </w:tabs>
        <w:jc w:val="left"/>
      </w:pPr>
      <w:r w:rsidRPr="00556A85">
        <w:t>From:</w:t>
      </w:r>
      <w:r w:rsidRPr="00556A85">
        <w:tab/>
        <w:t>The Board of Trustees</w:t>
      </w:r>
    </w:p>
    <w:p w14:paraId="56FA736D" w14:textId="77777777" w:rsidR="00442327" w:rsidRPr="00556A85" w:rsidRDefault="00442327" w:rsidP="00442327">
      <w:pPr>
        <w:tabs>
          <w:tab w:val="clear" w:pos="4153"/>
          <w:tab w:val="left" w:pos="1560"/>
        </w:tabs>
        <w:jc w:val="left"/>
      </w:pPr>
    </w:p>
    <w:p w14:paraId="612B001A" w14:textId="04005C79" w:rsidR="00442327" w:rsidRPr="00556A85" w:rsidRDefault="00442327" w:rsidP="00442327">
      <w:pPr>
        <w:tabs>
          <w:tab w:val="clear" w:pos="4153"/>
          <w:tab w:val="left" w:pos="1560"/>
        </w:tabs>
        <w:jc w:val="left"/>
      </w:pPr>
      <w:r w:rsidRPr="00556A85">
        <w:tab/>
        <w:t>___________________________________ (</w:t>
      </w:r>
      <w:r w:rsidRPr="00556A85">
        <w:rPr>
          <w:i/>
        </w:rPr>
        <w:t>school)</w:t>
      </w:r>
      <w:r w:rsidR="007C3AC5">
        <w:rPr>
          <w:i/>
        </w:rPr>
        <w:br/>
      </w:r>
    </w:p>
    <w:p w14:paraId="544FF5F2" w14:textId="37BC9001" w:rsidR="00442327" w:rsidRPr="00556A85" w:rsidRDefault="00442327" w:rsidP="000E7570">
      <w:pPr>
        <w:jc w:val="left"/>
      </w:pPr>
      <w:r w:rsidRPr="00556A85">
        <w:rPr>
          <w:u w:val="single"/>
        </w:rPr>
        <w:t>Note</w:t>
      </w:r>
      <w:r w:rsidRPr="00556A85">
        <w:t>: If the board is also responsible for the governance of one or more ‘off-site locations’ (activity centre/teen parent unit/satellite class, other), please list the units* on the next page.</w:t>
      </w:r>
    </w:p>
    <w:p w14:paraId="0DBACDB7" w14:textId="0705377A" w:rsidR="00F520B8" w:rsidRPr="009A3BE5" w:rsidRDefault="00287F6C" w:rsidP="009A3BE5">
      <w:pPr>
        <w:pStyle w:val="Heading1"/>
      </w:pPr>
      <w:r w:rsidRPr="009A3BE5">
        <w:t>An Introduction to t</w:t>
      </w:r>
      <w:r w:rsidR="00F520B8" w:rsidRPr="009A3BE5">
        <w:t xml:space="preserve">he </w:t>
      </w:r>
      <w:r w:rsidR="007C3AC5" w:rsidRPr="009A3BE5">
        <w:t xml:space="preserve">School </w:t>
      </w:r>
      <w:r w:rsidR="00F520B8" w:rsidRPr="009A3BE5">
        <w:t>Self Audit and Board Assurance Statement</w:t>
      </w:r>
    </w:p>
    <w:bookmarkEnd w:id="0"/>
    <w:p w14:paraId="45A9572B" w14:textId="51939E08" w:rsidR="00F520B8" w:rsidRPr="00D703F2" w:rsidRDefault="00F520B8" w:rsidP="00F520B8">
      <w:pPr>
        <w:jc w:val="left"/>
        <w:rPr>
          <w:bCs/>
          <w:szCs w:val="22"/>
        </w:rPr>
      </w:pPr>
      <w:r w:rsidRPr="00556A85">
        <w:rPr>
          <w:szCs w:val="22"/>
        </w:rPr>
        <w:t xml:space="preserve">As part of the review process, the Education Review Office (ERO) asks the Board of Trustees of each school to complete the </w:t>
      </w:r>
      <w:r w:rsidR="007C3AC5" w:rsidRPr="007C3AC5">
        <w:rPr>
          <w:b/>
          <w:bCs/>
          <w:szCs w:val="22"/>
        </w:rPr>
        <w:t>School</w:t>
      </w:r>
      <w:r w:rsidR="007C3AC5">
        <w:rPr>
          <w:szCs w:val="22"/>
        </w:rPr>
        <w:t xml:space="preserve"> </w:t>
      </w:r>
      <w:r w:rsidRPr="00556A85">
        <w:rPr>
          <w:b/>
          <w:szCs w:val="22"/>
        </w:rPr>
        <w:t>Self</w:t>
      </w:r>
      <w:r w:rsidR="007C3AC5">
        <w:rPr>
          <w:b/>
          <w:szCs w:val="22"/>
        </w:rPr>
        <w:t xml:space="preserve"> </w:t>
      </w:r>
      <w:r w:rsidRPr="00556A85">
        <w:rPr>
          <w:b/>
          <w:szCs w:val="22"/>
        </w:rPr>
        <w:t>Audit</w:t>
      </w:r>
      <w:r w:rsidR="007C3AC5">
        <w:rPr>
          <w:b/>
          <w:szCs w:val="22"/>
        </w:rPr>
        <w:t xml:space="preserve">: compliance elements to address and discuss </w:t>
      </w:r>
      <w:r w:rsidR="00D703F2">
        <w:rPr>
          <w:bCs/>
          <w:szCs w:val="22"/>
        </w:rPr>
        <w:t>during the course of the review culminating in</w:t>
      </w:r>
      <w:r w:rsidRPr="00556A85">
        <w:rPr>
          <w:szCs w:val="22"/>
        </w:rPr>
        <w:t xml:space="preserve"> the</w:t>
      </w:r>
      <w:r w:rsidRPr="00556A85">
        <w:rPr>
          <w:b/>
          <w:szCs w:val="22"/>
        </w:rPr>
        <w:t xml:space="preserve"> Assurance Statement</w:t>
      </w:r>
      <w:r w:rsidR="007C3AC5">
        <w:rPr>
          <w:b/>
          <w:szCs w:val="22"/>
        </w:rPr>
        <w:t xml:space="preserve">, </w:t>
      </w:r>
      <w:r w:rsidR="00D703F2" w:rsidRPr="00D703F2">
        <w:rPr>
          <w:bCs/>
          <w:szCs w:val="22"/>
        </w:rPr>
        <w:t>signed by the Board Chair and Principal</w:t>
      </w:r>
      <w:r w:rsidR="00F53BB1">
        <w:rPr>
          <w:bCs/>
          <w:szCs w:val="22"/>
        </w:rPr>
        <w:t xml:space="preserve"> (the BAS)</w:t>
      </w:r>
      <w:r w:rsidR="00D703F2" w:rsidRPr="00D703F2">
        <w:rPr>
          <w:bCs/>
          <w:szCs w:val="22"/>
        </w:rPr>
        <w:t xml:space="preserve"> towards the end of the process.</w:t>
      </w:r>
      <w:r w:rsidRPr="00D703F2">
        <w:rPr>
          <w:bCs/>
          <w:szCs w:val="22"/>
        </w:rPr>
        <w:t xml:space="preserve"> </w:t>
      </w:r>
    </w:p>
    <w:p w14:paraId="6C25C90C" w14:textId="77777777" w:rsidR="00F520B8" w:rsidRPr="00556A85" w:rsidRDefault="00F520B8" w:rsidP="00F520B8">
      <w:pPr>
        <w:jc w:val="left"/>
        <w:rPr>
          <w:szCs w:val="22"/>
        </w:rPr>
      </w:pPr>
    </w:p>
    <w:p w14:paraId="79DFDCE0" w14:textId="77777777" w:rsidR="00F520B8" w:rsidRPr="00556A85" w:rsidRDefault="00F520B8" w:rsidP="00F520B8">
      <w:pPr>
        <w:jc w:val="left"/>
        <w:rPr>
          <w:szCs w:val="22"/>
        </w:rPr>
      </w:pPr>
      <w:r w:rsidRPr="00556A85">
        <w:rPr>
          <w:szCs w:val="22"/>
        </w:rPr>
        <w:t>The checklists are in six sections that cover the following areas</w:t>
      </w:r>
    </w:p>
    <w:p w14:paraId="7BCF6A72" w14:textId="77777777" w:rsidR="00F520B8" w:rsidRPr="00556A85" w:rsidRDefault="00F520B8" w:rsidP="00F520B8">
      <w:pPr>
        <w:jc w:val="left"/>
        <w:rPr>
          <w:szCs w:val="22"/>
        </w:rPr>
      </w:pPr>
    </w:p>
    <w:p w14:paraId="56B9397B" w14:textId="77777777" w:rsidR="00F520B8" w:rsidRPr="00556A85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>Board administration</w:t>
      </w:r>
    </w:p>
    <w:p w14:paraId="1ADF0565" w14:textId="77777777" w:rsidR="00F520B8" w:rsidRPr="00556A85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>Curriculum</w:t>
      </w:r>
    </w:p>
    <w:p w14:paraId="78DEA1C5" w14:textId="77777777" w:rsidR="00F520B8" w:rsidRPr="00556A85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>Health, safety and welfare</w:t>
      </w:r>
    </w:p>
    <w:p w14:paraId="0FF0F79C" w14:textId="77777777" w:rsidR="00F520B8" w:rsidRPr="00556A85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>Personnel</w:t>
      </w:r>
    </w:p>
    <w:p w14:paraId="2A57C4A9" w14:textId="77777777" w:rsidR="00F520B8" w:rsidRPr="00556A85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 xml:space="preserve">Finance </w:t>
      </w:r>
    </w:p>
    <w:p w14:paraId="04204896" w14:textId="684B4B72" w:rsidR="00F520B8" w:rsidRDefault="00F520B8" w:rsidP="00F520B8">
      <w:pPr>
        <w:pStyle w:val="ListParagraph"/>
        <w:numPr>
          <w:ilvl w:val="0"/>
          <w:numId w:val="1"/>
        </w:numPr>
        <w:spacing w:after="120"/>
        <w:jc w:val="left"/>
      </w:pPr>
      <w:r w:rsidRPr="00556A85">
        <w:t xml:space="preserve">Asset management </w:t>
      </w:r>
    </w:p>
    <w:p w14:paraId="4B4C5DA3" w14:textId="28CAAE88" w:rsidR="00E34F2B" w:rsidRDefault="00D703F2" w:rsidP="00F520B8">
      <w:pPr>
        <w:spacing w:after="120"/>
        <w:jc w:val="left"/>
      </w:pPr>
      <w:r>
        <w:br/>
      </w:r>
      <w:r w:rsidR="00E34F2B">
        <w:t>Each of the six sections is</w:t>
      </w:r>
      <w:r w:rsidR="00F520B8" w:rsidRPr="00556A85">
        <w:t xml:space="preserve"> divided into clusters of separate items listed on the title </w:t>
      </w:r>
      <w:r w:rsidR="00E34F2B">
        <w:t>pages.</w:t>
      </w:r>
    </w:p>
    <w:p w14:paraId="2CCB4A53" w14:textId="2B39DBA0" w:rsidR="00E34F2B" w:rsidRDefault="00082132" w:rsidP="00F520B8">
      <w:pPr>
        <w:jc w:val="left"/>
      </w:pPr>
      <w:r>
        <w:t>Some</w:t>
      </w:r>
      <w:r w:rsidR="00E34F2B">
        <w:t xml:space="preserve"> sections on Board Administration, Health, Safety and Welfare and Personnel h</w:t>
      </w:r>
      <w:r w:rsidR="000E7570">
        <w:t>ave</w:t>
      </w:r>
      <w:r w:rsidR="00E34F2B">
        <w:t xml:space="preserve"> </w:t>
      </w:r>
      <w:r w:rsidR="00D703F2">
        <w:t>elements</w:t>
      </w:r>
      <w:r w:rsidR="00E34F2B">
        <w:t xml:space="preserve"> to be looked at early on in the review process. All other items can be followed up later on during the review</w:t>
      </w:r>
      <w:r w:rsidR="007C3AC5">
        <w:t>.</w:t>
      </w:r>
      <w:r>
        <w:t xml:space="preserve"> </w:t>
      </w:r>
    </w:p>
    <w:p w14:paraId="27305238" w14:textId="77777777" w:rsidR="00E34F2B" w:rsidRDefault="00E34F2B" w:rsidP="00F520B8">
      <w:pPr>
        <w:jc w:val="left"/>
      </w:pPr>
    </w:p>
    <w:p w14:paraId="24CD78F6" w14:textId="26B666ED" w:rsidR="00F520B8" w:rsidRDefault="00F520B8" w:rsidP="00F520B8">
      <w:pPr>
        <w:jc w:val="left"/>
      </w:pPr>
      <w:r w:rsidRPr="00556A85">
        <w:t>Please use the self</w:t>
      </w:r>
      <w:r w:rsidR="00556A85" w:rsidRPr="00556A85">
        <w:t>-</w:t>
      </w:r>
      <w:r w:rsidRPr="00556A85">
        <w:t>audit</w:t>
      </w:r>
      <w:r w:rsidR="007C3AC5">
        <w:t xml:space="preserve"> documents</w:t>
      </w:r>
      <w:r w:rsidRPr="00556A85">
        <w:t xml:space="preserve"> as working document</w:t>
      </w:r>
      <w:r w:rsidR="00F53BB1">
        <w:t>s,</w:t>
      </w:r>
      <w:r w:rsidRPr="00556A85">
        <w:t xml:space="preserve"> as tool</w:t>
      </w:r>
      <w:r w:rsidR="00F53BB1">
        <w:t>s</w:t>
      </w:r>
      <w:r w:rsidRPr="00556A85">
        <w:t xml:space="preserve"> to assist your focus on school improvement. </w:t>
      </w:r>
      <w:r w:rsidR="00E34F2B">
        <w:t>Each section has space for written comments to assist you</w:t>
      </w:r>
      <w:r w:rsidR="00F53BB1">
        <w:t xml:space="preserve"> </w:t>
      </w:r>
      <w:r w:rsidR="00B0712B">
        <w:t>in</w:t>
      </w:r>
      <w:r w:rsidR="00E34F2B">
        <w:t xml:space="preserve"> keep</w:t>
      </w:r>
      <w:r w:rsidR="00B0712B">
        <w:t>ing</w:t>
      </w:r>
      <w:r w:rsidR="00E34F2B">
        <w:t xml:space="preserve"> the document current.</w:t>
      </w:r>
      <w:r w:rsidR="00F53BB1">
        <w:t xml:space="preserve"> You will find prompts in sections labelled “further thoughts” to guide your thinking</w:t>
      </w:r>
      <w:r w:rsidR="00082132">
        <w:t>.</w:t>
      </w:r>
    </w:p>
    <w:p w14:paraId="19638313" w14:textId="10C529E3" w:rsidR="00F53BB1" w:rsidRPr="00556A85" w:rsidRDefault="00F53BB1" w:rsidP="00F520B8">
      <w:pPr>
        <w:jc w:val="left"/>
      </w:pPr>
    </w:p>
    <w:p w14:paraId="66AE0C5B" w14:textId="77777777" w:rsidR="00F520B8" w:rsidRPr="00556A85" w:rsidRDefault="00F520B8" w:rsidP="009A3BE5">
      <w:pPr>
        <w:pStyle w:val="Heading1"/>
      </w:pPr>
      <w:bookmarkStart w:id="1" w:name="_Toc532886602"/>
      <w:r w:rsidRPr="00556A85">
        <w:t>How to fill in the Board Assurance Statement</w:t>
      </w:r>
      <w:bookmarkEnd w:id="1"/>
    </w:p>
    <w:p w14:paraId="3E1CED47" w14:textId="1492FCB7" w:rsidR="00F520B8" w:rsidRPr="00556A85" w:rsidRDefault="00F520B8" w:rsidP="00F520B8">
      <w:pPr>
        <w:jc w:val="left"/>
      </w:pPr>
      <w:r w:rsidRPr="00556A85">
        <w:t xml:space="preserve">When </w:t>
      </w:r>
      <w:r w:rsidR="00287F6C" w:rsidRPr="00556A85">
        <w:t xml:space="preserve">your school’s review process is leading to the report phase, please </w:t>
      </w:r>
      <w:r w:rsidRPr="00556A85">
        <w:t xml:space="preserve">complete and sign the BAS. </w:t>
      </w:r>
      <w:r w:rsidR="002E181F">
        <w:t>This is in two parts: the Compliance Certification and the Attestation.</w:t>
      </w:r>
      <w:bookmarkStart w:id="2" w:name="_GoBack"/>
      <w:bookmarkEnd w:id="2"/>
    </w:p>
    <w:p w14:paraId="76C79E0C" w14:textId="77777777" w:rsidR="00F520B8" w:rsidRPr="00556A85" w:rsidRDefault="00F520B8" w:rsidP="00F520B8">
      <w:pPr>
        <w:jc w:val="left"/>
      </w:pPr>
    </w:p>
    <w:p w14:paraId="4C91475C" w14:textId="77777777" w:rsidR="00B0712B" w:rsidRDefault="00B0712B" w:rsidP="009A3BE5">
      <w:pPr>
        <w:pStyle w:val="Heading1"/>
      </w:pPr>
      <w:bookmarkStart w:id="3" w:name="_Toc532886603"/>
    </w:p>
    <w:p w14:paraId="226E67A2" w14:textId="3E974726" w:rsidR="00442327" w:rsidRPr="00556A85" w:rsidRDefault="00442327" w:rsidP="009A3BE5">
      <w:pPr>
        <w:pStyle w:val="Heading1"/>
      </w:pPr>
      <w:r w:rsidRPr="00556A85">
        <w:t>Compliance Certification</w:t>
      </w:r>
      <w:bookmarkEnd w:id="3"/>
    </w:p>
    <w:p w14:paraId="008A79F0" w14:textId="77777777" w:rsidR="00442327" w:rsidRPr="00556A85" w:rsidRDefault="00442327" w:rsidP="00442327">
      <w:pPr>
        <w:jc w:val="left"/>
      </w:pPr>
      <w:r w:rsidRPr="00556A85">
        <w:t>Has the board taken all reasonable steps to meet its legal requirements including those detailed in Ministry of Education circulars and other documents related to:</w:t>
      </w:r>
    </w:p>
    <w:p w14:paraId="5B74959F" w14:textId="77777777" w:rsidR="00442327" w:rsidRPr="00556A85" w:rsidRDefault="00442327" w:rsidP="00442327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1701"/>
        <w:gridCol w:w="1843"/>
      </w:tblGrid>
      <w:tr w:rsidR="00442327" w:rsidRPr="00556A85" w14:paraId="3ECD4C7F" w14:textId="77777777" w:rsidTr="009A3BE5">
        <w:tc>
          <w:tcPr>
            <w:tcW w:w="426" w:type="dxa"/>
            <w:tcBorders>
              <w:top w:val="nil"/>
              <w:left w:val="nil"/>
            </w:tcBorders>
            <w:shd w:val="clear" w:color="auto" w:fill="auto"/>
          </w:tcPr>
          <w:p w14:paraId="229CDFC3" w14:textId="77777777" w:rsidR="00442327" w:rsidRPr="00556A85" w:rsidRDefault="00442327" w:rsidP="002357EC">
            <w:pPr>
              <w:jc w:val="left"/>
              <w:rPr>
                <w:b/>
              </w:rPr>
            </w:pPr>
          </w:p>
        </w:tc>
        <w:tc>
          <w:tcPr>
            <w:tcW w:w="3118" w:type="dxa"/>
            <w:shd w:val="clear" w:color="auto" w:fill="D3E4E0" w:themeFill="accent6" w:themeFillTint="66"/>
          </w:tcPr>
          <w:p w14:paraId="77410976" w14:textId="77777777" w:rsidR="00442327" w:rsidRPr="00556A85" w:rsidRDefault="00442327" w:rsidP="002357EC">
            <w:pPr>
              <w:jc w:val="left"/>
              <w:rPr>
                <w:b/>
              </w:rPr>
            </w:pPr>
            <w:r w:rsidRPr="00556A85">
              <w:rPr>
                <w:b/>
              </w:rPr>
              <w:t xml:space="preserve">Compliance Area </w:t>
            </w:r>
          </w:p>
        </w:tc>
        <w:tc>
          <w:tcPr>
            <w:tcW w:w="1701" w:type="dxa"/>
            <w:shd w:val="clear" w:color="auto" w:fill="D3E4E0" w:themeFill="accent6" w:themeFillTint="66"/>
          </w:tcPr>
          <w:p w14:paraId="1514FAF7" w14:textId="77777777" w:rsidR="00442327" w:rsidRPr="00556A85" w:rsidRDefault="00442327" w:rsidP="002357EC">
            <w:pPr>
              <w:jc w:val="left"/>
              <w:rPr>
                <w:b/>
              </w:rPr>
            </w:pPr>
            <w:r w:rsidRPr="00556A85">
              <w:rPr>
                <w:b/>
              </w:rPr>
              <w:t>Yes</w:t>
            </w:r>
          </w:p>
        </w:tc>
        <w:tc>
          <w:tcPr>
            <w:tcW w:w="1701" w:type="dxa"/>
            <w:shd w:val="clear" w:color="auto" w:fill="D3E4E0" w:themeFill="accent6" w:themeFillTint="66"/>
          </w:tcPr>
          <w:p w14:paraId="60EC9C63" w14:textId="77777777" w:rsidR="00442327" w:rsidRPr="00556A85" w:rsidRDefault="00442327" w:rsidP="002357EC">
            <w:pPr>
              <w:jc w:val="left"/>
              <w:rPr>
                <w:b/>
              </w:rPr>
            </w:pPr>
            <w:r w:rsidRPr="00556A85">
              <w:rPr>
                <w:b/>
              </w:rPr>
              <w:t>No</w:t>
            </w:r>
          </w:p>
        </w:tc>
        <w:tc>
          <w:tcPr>
            <w:tcW w:w="1843" w:type="dxa"/>
            <w:shd w:val="clear" w:color="auto" w:fill="D3E4E0" w:themeFill="accent6" w:themeFillTint="66"/>
          </w:tcPr>
          <w:p w14:paraId="703866D1" w14:textId="77777777" w:rsidR="00442327" w:rsidRPr="00556A85" w:rsidRDefault="00442327" w:rsidP="002357EC">
            <w:pPr>
              <w:jc w:val="left"/>
              <w:rPr>
                <w:b/>
              </w:rPr>
            </w:pPr>
            <w:r w:rsidRPr="00556A85">
              <w:rPr>
                <w:b/>
              </w:rPr>
              <w:t>Unsure</w:t>
            </w:r>
          </w:p>
        </w:tc>
      </w:tr>
      <w:tr w:rsidR="00442327" w:rsidRPr="00556A85" w14:paraId="3A4AD5FC" w14:textId="77777777" w:rsidTr="009A3BE5">
        <w:tc>
          <w:tcPr>
            <w:tcW w:w="426" w:type="dxa"/>
            <w:shd w:val="clear" w:color="auto" w:fill="E9F1EF" w:themeFill="accent6" w:themeFillTint="33"/>
          </w:tcPr>
          <w:p w14:paraId="64FC859E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1</w:t>
            </w:r>
          </w:p>
        </w:tc>
        <w:tc>
          <w:tcPr>
            <w:tcW w:w="3118" w:type="dxa"/>
          </w:tcPr>
          <w:p w14:paraId="469EE44D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 xml:space="preserve">Board Administration </w:t>
            </w:r>
          </w:p>
        </w:tc>
        <w:tc>
          <w:tcPr>
            <w:tcW w:w="1701" w:type="dxa"/>
          </w:tcPr>
          <w:p w14:paraId="58A93902" w14:textId="77777777" w:rsidR="00442327" w:rsidRPr="00556A85" w:rsidRDefault="00442327" w:rsidP="002357EC">
            <w:pPr>
              <w:pStyle w:val="Header"/>
              <w:jc w:val="left"/>
            </w:pPr>
          </w:p>
        </w:tc>
        <w:tc>
          <w:tcPr>
            <w:tcW w:w="1701" w:type="dxa"/>
          </w:tcPr>
          <w:p w14:paraId="6EFCF62A" w14:textId="77777777" w:rsidR="00442327" w:rsidRPr="00556A85" w:rsidRDefault="00442327" w:rsidP="002357EC">
            <w:pPr>
              <w:pStyle w:val="Header"/>
              <w:jc w:val="left"/>
            </w:pPr>
          </w:p>
        </w:tc>
        <w:tc>
          <w:tcPr>
            <w:tcW w:w="1843" w:type="dxa"/>
          </w:tcPr>
          <w:p w14:paraId="797C8D6F" w14:textId="77777777" w:rsidR="00442327" w:rsidRPr="00556A85" w:rsidRDefault="00442327" w:rsidP="002357EC">
            <w:pPr>
              <w:jc w:val="left"/>
            </w:pPr>
          </w:p>
        </w:tc>
      </w:tr>
      <w:tr w:rsidR="00442327" w:rsidRPr="00556A85" w14:paraId="735049CB" w14:textId="77777777" w:rsidTr="009A3BE5">
        <w:tc>
          <w:tcPr>
            <w:tcW w:w="426" w:type="dxa"/>
            <w:shd w:val="clear" w:color="auto" w:fill="E9F1EF" w:themeFill="accent6" w:themeFillTint="33"/>
          </w:tcPr>
          <w:p w14:paraId="63FFE55C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2</w:t>
            </w:r>
          </w:p>
        </w:tc>
        <w:tc>
          <w:tcPr>
            <w:tcW w:w="3118" w:type="dxa"/>
          </w:tcPr>
          <w:p w14:paraId="6B0ED8D4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 xml:space="preserve">Curriculum </w:t>
            </w:r>
          </w:p>
        </w:tc>
        <w:tc>
          <w:tcPr>
            <w:tcW w:w="1701" w:type="dxa"/>
          </w:tcPr>
          <w:p w14:paraId="33A13820" w14:textId="77777777" w:rsidR="00442327" w:rsidRPr="00556A85" w:rsidRDefault="00442327" w:rsidP="002357EC">
            <w:pPr>
              <w:jc w:val="left"/>
            </w:pPr>
          </w:p>
        </w:tc>
        <w:tc>
          <w:tcPr>
            <w:tcW w:w="1701" w:type="dxa"/>
          </w:tcPr>
          <w:p w14:paraId="4AF2E7E2" w14:textId="77777777" w:rsidR="00442327" w:rsidRPr="00556A85" w:rsidRDefault="00442327" w:rsidP="002357EC">
            <w:pPr>
              <w:jc w:val="left"/>
            </w:pPr>
          </w:p>
        </w:tc>
        <w:tc>
          <w:tcPr>
            <w:tcW w:w="1843" w:type="dxa"/>
          </w:tcPr>
          <w:p w14:paraId="63B6B525" w14:textId="77777777" w:rsidR="00442327" w:rsidRPr="00556A85" w:rsidRDefault="00442327" w:rsidP="002357EC">
            <w:pPr>
              <w:jc w:val="left"/>
            </w:pPr>
          </w:p>
        </w:tc>
      </w:tr>
      <w:tr w:rsidR="00442327" w:rsidRPr="00556A85" w14:paraId="35950E7E" w14:textId="77777777" w:rsidTr="009A3BE5">
        <w:tc>
          <w:tcPr>
            <w:tcW w:w="426" w:type="dxa"/>
            <w:shd w:val="clear" w:color="auto" w:fill="E9F1EF" w:themeFill="accent6" w:themeFillTint="33"/>
          </w:tcPr>
          <w:p w14:paraId="6A2BEC86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3</w:t>
            </w:r>
          </w:p>
        </w:tc>
        <w:tc>
          <w:tcPr>
            <w:tcW w:w="3118" w:type="dxa"/>
          </w:tcPr>
          <w:p w14:paraId="321DD395" w14:textId="77777777" w:rsidR="00442327" w:rsidRPr="009A3BE5" w:rsidRDefault="00442327" w:rsidP="002357EC">
            <w:pPr>
              <w:pStyle w:val="Header"/>
              <w:jc w:val="left"/>
              <w:rPr>
                <w:b/>
              </w:rPr>
            </w:pPr>
            <w:r w:rsidRPr="009A3BE5">
              <w:rPr>
                <w:b/>
              </w:rPr>
              <w:t>Health, Safety and Welfare</w:t>
            </w:r>
          </w:p>
        </w:tc>
        <w:tc>
          <w:tcPr>
            <w:tcW w:w="1701" w:type="dxa"/>
          </w:tcPr>
          <w:p w14:paraId="3D4ABB1E" w14:textId="77777777" w:rsidR="00442327" w:rsidRPr="00556A85" w:rsidRDefault="00442327" w:rsidP="002357EC">
            <w:pPr>
              <w:jc w:val="left"/>
            </w:pPr>
          </w:p>
        </w:tc>
        <w:tc>
          <w:tcPr>
            <w:tcW w:w="1701" w:type="dxa"/>
          </w:tcPr>
          <w:p w14:paraId="76F94C61" w14:textId="77777777" w:rsidR="00442327" w:rsidRPr="00556A85" w:rsidRDefault="00442327" w:rsidP="002357EC">
            <w:pPr>
              <w:jc w:val="left"/>
            </w:pPr>
          </w:p>
        </w:tc>
        <w:tc>
          <w:tcPr>
            <w:tcW w:w="1843" w:type="dxa"/>
          </w:tcPr>
          <w:p w14:paraId="54F42750" w14:textId="77777777" w:rsidR="00442327" w:rsidRPr="00556A85" w:rsidRDefault="00442327" w:rsidP="002357EC">
            <w:pPr>
              <w:jc w:val="left"/>
            </w:pPr>
          </w:p>
        </w:tc>
      </w:tr>
      <w:tr w:rsidR="00442327" w:rsidRPr="00556A85" w14:paraId="4F8D01C1" w14:textId="77777777" w:rsidTr="009A3BE5">
        <w:tc>
          <w:tcPr>
            <w:tcW w:w="426" w:type="dxa"/>
            <w:shd w:val="clear" w:color="auto" w:fill="E9F1EF" w:themeFill="accent6" w:themeFillTint="33"/>
          </w:tcPr>
          <w:p w14:paraId="3259B6DD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4</w:t>
            </w:r>
          </w:p>
        </w:tc>
        <w:tc>
          <w:tcPr>
            <w:tcW w:w="3118" w:type="dxa"/>
          </w:tcPr>
          <w:p w14:paraId="36C913E1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 xml:space="preserve">Personnel </w:t>
            </w:r>
          </w:p>
        </w:tc>
        <w:tc>
          <w:tcPr>
            <w:tcW w:w="1701" w:type="dxa"/>
          </w:tcPr>
          <w:p w14:paraId="5B0C5F2D" w14:textId="77777777" w:rsidR="00442327" w:rsidRPr="00556A85" w:rsidRDefault="00442327" w:rsidP="002357EC">
            <w:pPr>
              <w:jc w:val="left"/>
            </w:pPr>
          </w:p>
        </w:tc>
        <w:tc>
          <w:tcPr>
            <w:tcW w:w="1701" w:type="dxa"/>
          </w:tcPr>
          <w:p w14:paraId="04AC2348" w14:textId="77777777" w:rsidR="00442327" w:rsidRPr="00556A85" w:rsidRDefault="00442327" w:rsidP="002357EC">
            <w:pPr>
              <w:jc w:val="left"/>
            </w:pPr>
          </w:p>
        </w:tc>
        <w:tc>
          <w:tcPr>
            <w:tcW w:w="1843" w:type="dxa"/>
          </w:tcPr>
          <w:p w14:paraId="5AD24424" w14:textId="77777777" w:rsidR="00442327" w:rsidRPr="00556A85" w:rsidRDefault="00442327" w:rsidP="002357EC">
            <w:pPr>
              <w:jc w:val="left"/>
            </w:pPr>
          </w:p>
        </w:tc>
      </w:tr>
      <w:tr w:rsidR="00442327" w:rsidRPr="00556A85" w14:paraId="11AC09E0" w14:textId="77777777" w:rsidTr="009A3BE5">
        <w:tc>
          <w:tcPr>
            <w:tcW w:w="426" w:type="dxa"/>
            <w:shd w:val="clear" w:color="auto" w:fill="E9F1EF" w:themeFill="accent6" w:themeFillTint="33"/>
          </w:tcPr>
          <w:p w14:paraId="6F89196F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5</w:t>
            </w:r>
          </w:p>
        </w:tc>
        <w:tc>
          <w:tcPr>
            <w:tcW w:w="3118" w:type="dxa"/>
          </w:tcPr>
          <w:p w14:paraId="79A1ACBC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Finance</w:t>
            </w:r>
          </w:p>
        </w:tc>
        <w:tc>
          <w:tcPr>
            <w:tcW w:w="1701" w:type="dxa"/>
          </w:tcPr>
          <w:p w14:paraId="4A6C9A6A" w14:textId="77777777" w:rsidR="00442327" w:rsidRPr="00556A85" w:rsidRDefault="00442327" w:rsidP="002357EC">
            <w:pPr>
              <w:jc w:val="left"/>
            </w:pPr>
          </w:p>
        </w:tc>
        <w:tc>
          <w:tcPr>
            <w:tcW w:w="1701" w:type="dxa"/>
          </w:tcPr>
          <w:p w14:paraId="436CA08F" w14:textId="77777777" w:rsidR="00442327" w:rsidRPr="00556A85" w:rsidRDefault="00442327" w:rsidP="002357EC">
            <w:pPr>
              <w:jc w:val="left"/>
            </w:pPr>
          </w:p>
        </w:tc>
        <w:tc>
          <w:tcPr>
            <w:tcW w:w="1843" w:type="dxa"/>
          </w:tcPr>
          <w:p w14:paraId="395875CD" w14:textId="77777777" w:rsidR="00442327" w:rsidRPr="00556A85" w:rsidRDefault="00442327" w:rsidP="002357EC">
            <w:pPr>
              <w:jc w:val="left"/>
            </w:pPr>
          </w:p>
        </w:tc>
      </w:tr>
      <w:tr w:rsidR="00442327" w:rsidRPr="00556A85" w14:paraId="46382B61" w14:textId="77777777" w:rsidTr="009A3BE5">
        <w:tc>
          <w:tcPr>
            <w:tcW w:w="426" w:type="dxa"/>
            <w:shd w:val="clear" w:color="auto" w:fill="E9F1EF" w:themeFill="accent6" w:themeFillTint="33"/>
          </w:tcPr>
          <w:p w14:paraId="10038608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6</w:t>
            </w:r>
          </w:p>
        </w:tc>
        <w:tc>
          <w:tcPr>
            <w:tcW w:w="3118" w:type="dxa"/>
          </w:tcPr>
          <w:p w14:paraId="7239A876" w14:textId="77777777" w:rsidR="00442327" w:rsidRPr="009A3BE5" w:rsidRDefault="00442327" w:rsidP="002357EC">
            <w:pPr>
              <w:jc w:val="left"/>
              <w:rPr>
                <w:b/>
              </w:rPr>
            </w:pPr>
            <w:r w:rsidRPr="009A3BE5">
              <w:rPr>
                <w:b/>
              </w:rPr>
              <w:t>Assets</w:t>
            </w:r>
          </w:p>
        </w:tc>
        <w:tc>
          <w:tcPr>
            <w:tcW w:w="1701" w:type="dxa"/>
          </w:tcPr>
          <w:p w14:paraId="2900A29E" w14:textId="77777777" w:rsidR="00442327" w:rsidRPr="00556A85" w:rsidRDefault="00442327" w:rsidP="002357EC">
            <w:pPr>
              <w:jc w:val="left"/>
            </w:pPr>
          </w:p>
        </w:tc>
        <w:tc>
          <w:tcPr>
            <w:tcW w:w="1701" w:type="dxa"/>
          </w:tcPr>
          <w:p w14:paraId="186B42AB" w14:textId="77777777" w:rsidR="00442327" w:rsidRPr="00556A85" w:rsidRDefault="00442327" w:rsidP="002357EC">
            <w:pPr>
              <w:jc w:val="left"/>
            </w:pPr>
          </w:p>
        </w:tc>
        <w:tc>
          <w:tcPr>
            <w:tcW w:w="1843" w:type="dxa"/>
          </w:tcPr>
          <w:p w14:paraId="65E96798" w14:textId="77777777" w:rsidR="00442327" w:rsidRPr="00556A85" w:rsidRDefault="00442327" w:rsidP="002357EC">
            <w:pPr>
              <w:jc w:val="left"/>
            </w:pPr>
          </w:p>
        </w:tc>
      </w:tr>
    </w:tbl>
    <w:p w14:paraId="73E4F70F" w14:textId="77777777" w:rsidR="00442327" w:rsidRPr="00556A85" w:rsidRDefault="00442327" w:rsidP="00442327">
      <w:pPr>
        <w:jc w:val="left"/>
      </w:pPr>
    </w:p>
    <w:p w14:paraId="31E6FDF3" w14:textId="77777777" w:rsidR="00442327" w:rsidRPr="00556A85" w:rsidRDefault="00442327" w:rsidP="00442327">
      <w:pPr>
        <w:jc w:val="left"/>
      </w:pPr>
      <w:r w:rsidRPr="00556A85">
        <w:t>Areas of self-identified non-compliance and actions to be taken: see next page.</w:t>
      </w:r>
    </w:p>
    <w:p w14:paraId="05A924BA" w14:textId="66B0EA7E" w:rsidR="00442327" w:rsidRPr="00556A85" w:rsidRDefault="00442327" w:rsidP="009A3BE5">
      <w:pPr>
        <w:pStyle w:val="Heading1"/>
      </w:pPr>
      <w:bookmarkStart w:id="4" w:name="_Toc532886604"/>
      <w:r w:rsidRPr="00556A85">
        <w:t>Attestation:</w:t>
      </w:r>
      <w:bookmarkEnd w:id="4"/>
    </w:p>
    <w:p w14:paraId="44F2B80E" w14:textId="6D90C5D5" w:rsidR="00442327" w:rsidRPr="00556A85" w:rsidRDefault="00442327" w:rsidP="00442327">
      <w:pPr>
        <w:jc w:val="left"/>
      </w:pPr>
      <w:r w:rsidRPr="00556A85">
        <w:t xml:space="preserve">The Board of Trustees and the principal have taken all reasonable steps to meet their legal requirements [including for the off-site locations as listed *(if any)], and requirements detailed in Ministry of Education circulars and other documents. </w:t>
      </w:r>
      <w:r w:rsidR="00F53BB1">
        <w:br/>
      </w:r>
      <w:r w:rsidR="00F53BB1">
        <w:br/>
      </w:r>
      <w:r w:rsidRPr="00556A85">
        <w:t>Where non-compliance has been identified, measures are being taken to remedy this.</w:t>
      </w:r>
    </w:p>
    <w:p w14:paraId="2E8BCBAD" w14:textId="77777777" w:rsidR="00442327" w:rsidRPr="00556A85" w:rsidRDefault="00442327" w:rsidP="00442327">
      <w:pPr>
        <w:jc w:val="left"/>
      </w:pPr>
    </w:p>
    <w:p w14:paraId="4411767A" w14:textId="77777777" w:rsidR="00442327" w:rsidRPr="00556A85" w:rsidRDefault="00442327" w:rsidP="00442327">
      <w:pPr>
        <w:jc w:val="left"/>
      </w:pPr>
    </w:p>
    <w:p w14:paraId="6CFAFCDC" w14:textId="77777777" w:rsidR="00442327" w:rsidRPr="00556A85" w:rsidRDefault="00442327" w:rsidP="00442327">
      <w:pPr>
        <w:pStyle w:val="Header"/>
        <w:tabs>
          <w:tab w:val="clear" w:pos="4153"/>
          <w:tab w:val="clear" w:pos="8306"/>
          <w:tab w:val="left" w:leader="dot" w:pos="8789"/>
        </w:tabs>
        <w:jc w:val="left"/>
      </w:pPr>
      <w:r w:rsidRPr="00556A85">
        <w:t xml:space="preserve">Board Chairperson </w:t>
      </w:r>
      <w:r w:rsidRPr="00556A85">
        <w:tab/>
      </w:r>
    </w:p>
    <w:p w14:paraId="73C37C41" w14:textId="77777777" w:rsidR="00442327" w:rsidRPr="00556A85" w:rsidRDefault="00442327" w:rsidP="00442327">
      <w:pPr>
        <w:tabs>
          <w:tab w:val="clear" w:pos="4153"/>
          <w:tab w:val="left" w:pos="2268"/>
          <w:tab w:val="left" w:pos="4820"/>
          <w:tab w:val="left" w:pos="7230"/>
        </w:tabs>
        <w:jc w:val="left"/>
        <w:rPr>
          <w:b/>
        </w:rPr>
      </w:pPr>
      <w:r w:rsidRPr="00556A85">
        <w:tab/>
      </w:r>
      <w:r w:rsidRPr="00556A85">
        <w:rPr>
          <w:b/>
        </w:rPr>
        <w:t>Name</w:t>
      </w:r>
      <w:r w:rsidRPr="00556A85">
        <w:rPr>
          <w:b/>
        </w:rPr>
        <w:tab/>
        <w:t>Signature</w:t>
      </w:r>
      <w:r w:rsidRPr="00556A85">
        <w:rPr>
          <w:b/>
        </w:rPr>
        <w:tab/>
        <w:t>Date</w:t>
      </w:r>
    </w:p>
    <w:p w14:paraId="2D82BF07" w14:textId="77777777" w:rsidR="00442327" w:rsidRPr="00556A85" w:rsidRDefault="00442327" w:rsidP="00442327">
      <w:pPr>
        <w:jc w:val="left"/>
      </w:pPr>
    </w:p>
    <w:p w14:paraId="0BE73B4D" w14:textId="77777777" w:rsidR="00442327" w:rsidRPr="00556A85" w:rsidRDefault="00442327" w:rsidP="00442327">
      <w:pPr>
        <w:jc w:val="left"/>
      </w:pPr>
    </w:p>
    <w:p w14:paraId="40DA9E96" w14:textId="77777777" w:rsidR="00442327" w:rsidRPr="00556A85" w:rsidRDefault="00442327" w:rsidP="00442327">
      <w:pPr>
        <w:pStyle w:val="Header"/>
        <w:tabs>
          <w:tab w:val="clear" w:pos="4153"/>
          <w:tab w:val="clear" w:pos="8306"/>
          <w:tab w:val="left" w:leader="dot" w:pos="8789"/>
        </w:tabs>
        <w:jc w:val="left"/>
      </w:pPr>
      <w:r w:rsidRPr="00556A85">
        <w:t xml:space="preserve">Principal </w:t>
      </w:r>
      <w:r w:rsidRPr="00556A85">
        <w:tab/>
      </w:r>
    </w:p>
    <w:p w14:paraId="1E02C160" w14:textId="77777777" w:rsidR="00442327" w:rsidRPr="00556A85" w:rsidRDefault="00442327" w:rsidP="00442327">
      <w:pPr>
        <w:tabs>
          <w:tab w:val="clear" w:pos="4153"/>
          <w:tab w:val="left" w:pos="2268"/>
          <w:tab w:val="left" w:pos="4820"/>
          <w:tab w:val="left" w:pos="7230"/>
          <w:tab w:val="left" w:pos="7655"/>
        </w:tabs>
        <w:jc w:val="left"/>
      </w:pPr>
      <w:r w:rsidRPr="00556A85">
        <w:tab/>
      </w:r>
      <w:r w:rsidRPr="00556A85">
        <w:rPr>
          <w:b/>
        </w:rPr>
        <w:t>Name</w:t>
      </w:r>
      <w:r w:rsidRPr="00556A85">
        <w:rPr>
          <w:b/>
        </w:rPr>
        <w:tab/>
        <w:t xml:space="preserve">Signature </w:t>
      </w:r>
      <w:r w:rsidRPr="00556A85">
        <w:rPr>
          <w:b/>
        </w:rPr>
        <w:tab/>
        <w:t>Date</w:t>
      </w:r>
    </w:p>
    <w:p w14:paraId="6AC15464" w14:textId="77777777" w:rsidR="00442327" w:rsidRPr="00556A85" w:rsidRDefault="00442327" w:rsidP="00442327"/>
    <w:p w14:paraId="712655A7" w14:textId="77777777" w:rsidR="00F53BB1" w:rsidRDefault="00F53BB1" w:rsidP="00442327"/>
    <w:p w14:paraId="53E1BA52" w14:textId="438F7272" w:rsidR="00442327" w:rsidRPr="00556A85" w:rsidRDefault="00442327" w:rsidP="00442327">
      <w:r w:rsidRPr="00556A85">
        <w:t>List of off-site locations* (example - activity centre/teen parent unit/satellite class, other) under the School Board’s governance:</w:t>
      </w:r>
    </w:p>
    <w:p w14:paraId="15B5B5C8" w14:textId="77777777" w:rsidR="00442327" w:rsidRPr="00556A85" w:rsidRDefault="00442327" w:rsidP="00442327"/>
    <w:p w14:paraId="770B72E6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0D43D912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7EEB3039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1FA5ECC0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3B7846E9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10452539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47B1C79C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0A438597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5B68A422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0485B343" w14:textId="77777777" w:rsidR="00082132" w:rsidRDefault="00082132" w:rsidP="00442327">
      <w:pPr>
        <w:tabs>
          <w:tab w:val="clear" w:pos="4153"/>
          <w:tab w:val="clear" w:pos="8306"/>
          <w:tab w:val="right" w:leader="underscore" w:pos="8786"/>
        </w:tabs>
      </w:pPr>
    </w:p>
    <w:p w14:paraId="2918B4C5" w14:textId="77777777" w:rsidR="00082132" w:rsidRPr="00556A85" w:rsidRDefault="00082132" w:rsidP="00082132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33DBC461" w14:textId="77777777" w:rsidR="00082132" w:rsidRPr="00556A85" w:rsidRDefault="00082132" w:rsidP="00082132">
      <w:pPr>
        <w:tabs>
          <w:tab w:val="clear" w:pos="4153"/>
          <w:tab w:val="clear" w:pos="8306"/>
          <w:tab w:val="right" w:leader="underscore" w:pos="8786"/>
        </w:tabs>
      </w:pPr>
    </w:p>
    <w:p w14:paraId="11099CC6" w14:textId="77777777" w:rsidR="00082132" w:rsidRPr="00556A85" w:rsidRDefault="00082132" w:rsidP="00082132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38D0221C" w14:textId="77777777" w:rsidR="00082132" w:rsidRPr="00556A85" w:rsidRDefault="00082132" w:rsidP="00082132">
      <w:pPr>
        <w:tabs>
          <w:tab w:val="clear" w:pos="4153"/>
          <w:tab w:val="clear" w:pos="8306"/>
          <w:tab w:val="right" w:leader="underscore" w:pos="8786"/>
        </w:tabs>
      </w:pPr>
    </w:p>
    <w:p w14:paraId="1EEB76A3" w14:textId="77777777" w:rsidR="00082132" w:rsidRDefault="00082132" w:rsidP="00442327">
      <w:pPr>
        <w:tabs>
          <w:tab w:val="clear" w:pos="4153"/>
          <w:tab w:val="clear" w:pos="8306"/>
          <w:tab w:val="right" w:leader="underscore" w:pos="8786"/>
        </w:tabs>
      </w:pPr>
    </w:p>
    <w:p w14:paraId="4ABE4462" w14:textId="77777777" w:rsidR="00082132" w:rsidRDefault="00082132" w:rsidP="00442327">
      <w:pPr>
        <w:tabs>
          <w:tab w:val="clear" w:pos="4153"/>
          <w:tab w:val="clear" w:pos="8306"/>
          <w:tab w:val="right" w:leader="underscore" w:pos="8786"/>
        </w:tabs>
      </w:pPr>
    </w:p>
    <w:p w14:paraId="231EAECF" w14:textId="36A3F36C" w:rsidR="00BA6213" w:rsidRDefault="00BA6213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>Areas of self-identified non-compliance and actions to be taken</w:t>
      </w:r>
    </w:p>
    <w:p w14:paraId="7C127F5C" w14:textId="7E5F2516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6CACDB03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3E5B0630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45094245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0F401AF3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29569380" w14:textId="77777777" w:rsidR="00442327" w:rsidRPr="00556A85" w:rsidRDefault="00442327" w:rsidP="00442327">
      <w:pPr>
        <w:tabs>
          <w:tab w:val="clear" w:pos="4153"/>
          <w:tab w:val="clear" w:pos="8306"/>
          <w:tab w:val="right" w:leader="underscore" w:pos="8786"/>
        </w:tabs>
      </w:pPr>
    </w:p>
    <w:p w14:paraId="7C7E420A" w14:textId="52CCF8FF" w:rsidR="00442327" w:rsidRDefault="00442327" w:rsidP="00442327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1C793810" w14:textId="71688717" w:rsidR="00BA6213" w:rsidRDefault="00BA6213" w:rsidP="00442327">
      <w:pPr>
        <w:tabs>
          <w:tab w:val="clear" w:pos="4153"/>
          <w:tab w:val="clear" w:pos="8306"/>
          <w:tab w:val="right" w:leader="underscore" w:pos="8786"/>
        </w:tabs>
      </w:pPr>
    </w:p>
    <w:p w14:paraId="4EB9803C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3D794CEC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7188CC61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28158C7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5DBB7CF0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7CB4E1B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42453F11" w14:textId="55A4D1DB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  <w:r>
        <w:br/>
      </w:r>
    </w:p>
    <w:p w14:paraId="7591518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62F2A161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1125FC8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79567FCA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06716F08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48BD491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</w:p>
    <w:p w14:paraId="20AADB1E" w14:textId="77777777" w:rsidR="00BA6213" w:rsidRPr="00556A85" w:rsidRDefault="00BA6213" w:rsidP="00BA6213">
      <w:pPr>
        <w:tabs>
          <w:tab w:val="clear" w:pos="4153"/>
          <w:tab w:val="clear" w:pos="8306"/>
          <w:tab w:val="right" w:leader="underscore" w:pos="8786"/>
        </w:tabs>
      </w:pPr>
      <w:r w:rsidRPr="00556A85">
        <w:tab/>
      </w:r>
    </w:p>
    <w:p w14:paraId="52136FEC" w14:textId="77777777" w:rsidR="00BA6213" w:rsidRPr="00556A85" w:rsidRDefault="00BA6213" w:rsidP="00442327">
      <w:pPr>
        <w:tabs>
          <w:tab w:val="clear" w:pos="4153"/>
          <w:tab w:val="clear" w:pos="8306"/>
          <w:tab w:val="right" w:leader="underscore" w:pos="8786"/>
        </w:tabs>
      </w:pPr>
    </w:p>
    <w:p w14:paraId="12B879D7" w14:textId="77777777" w:rsidR="00442327" w:rsidRPr="00556A85" w:rsidRDefault="00442327" w:rsidP="00442327"/>
    <w:p w14:paraId="4A26D87D" w14:textId="77777777" w:rsidR="00442327" w:rsidRPr="00556A85" w:rsidRDefault="00442327" w:rsidP="00442327">
      <w:pPr>
        <w:jc w:val="left"/>
        <w:rPr>
          <w:szCs w:val="22"/>
        </w:rPr>
      </w:pPr>
      <w:r w:rsidRPr="00556A85">
        <w:rPr>
          <w:szCs w:val="22"/>
        </w:rPr>
        <w:t>* An ‘off-site location’ is when a school is using premises outside of the school to provide education to one or more students on a long-term or full-time basis [refer section 117(6) of the Education and Training Act 2020].</w:t>
      </w:r>
    </w:p>
    <w:p w14:paraId="4F4C13C4" w14:textId="77777777" w:rsidR="00442327" w:rsidRPr="00556A85" w:rsidRDefault="00442327" w:rsidP="00442327">
      <w:pPr>
        <w:jc w:val="left"/>
        <w:rPr>
          <w:szCs w:val="22"/>
          <w:lang w:eastAsia="en-NZ"/>
        </w:rPr>
      </w:pPr>
    </w:p>
    <w:p w14:paraId="349F36AC" w14:textId="77777777" w:rsidR="00442327" w:rsidRPr="00556A85" w:rsidRDefault="00442327" w:rsidP="00442327">
      <w:pPr>
        <w:jc w:val="left"/>
        <w:rPr>
          <w:szCs w:val="22"/>
        </w:rPr>
      </w:pPr>
      <w:r w:rsidRPr="00556A85">
        <w:rPr>
          <w:szCs w:val="22"/>
          <w:u w:val="single"/>
        </w:rPr>
        <w:t>Note:</w:t>
      </w:r>
      <w:r w:rsidRPr="00556A85">
        <w:rPr>
          <w:szCs w:val="22"/>
        </w:rPr>
        <w:t xml:space="preserve"> The E&amp;T Act 2020 requires schools to seek approval from the Minister of Education to use an off-site location or host an off-site location for another school. Once approval has been given, schools must enter into an agreement with the Secretary for Education before using that off-site location.  This change will formalise arrangements for off-site locations and make it clearer who is responsible for the education, safety and welfare of the students receiving education at the off-site location.</w:t>
      </w:r>
      <w:r w:rsidRPr="00556A85">
        <w:rPr>
          <w:rStyle w:val="FootnoteReference"/>
          <w:color w:val="000000"/>
          <w:szCs w:val="22"/>
          <w:lang w:eastAsia="en-NZ"/>
        </w:rPr>
        <w:footnoteReference w:id="1"/>
      </w:r>
    </w:p>
    <w:p w14:paraId="5B01309C" w14:textId="77777777" w:rsidR="00442327" w:rsidRPr="00556A85" w:rsidRDefault="00442327" w:rsidP="00442327">
      <w:pPr>
        <w:jc w:val="left"/>
        <w:rPr>
          <w:szCs w:val="22"/>
        </w:rPr>
      </w:pPr>
    </w:p>
    <w:p w14:paraId="57B2BF7D" w14:textId="77777777" w:rsidR="00442327" w:rsidRDefault="00442327" w:rsidP="00442327">
      <w:r w:rsidRPr="00556A85">
        <w:rPr>
          <w:szCs w:val="22"/>
        </w:rPr>
        <w:t>*[Please write N/A if not applicable]</w:t>
      </w:r>
    </w:p>
    <w:p w14:paraId="62FDAF69" w14:textId="77777777" w:rsidR="00442327" w:rsidRDefault="00442327" w:rsidP="00F520B8"/>
    <w:p w14:paraId="0A525BBF" w14:textId="14966CF4" w:rsidR="00287F6C" w:rsidRDefault="00287F6C" w:rsidP="00F520B8"/>
    <w:p w14:paraId="69DE99D1" w14:textId="1BBFC437" w:rsidR="00287F6C" w:rsidRDefault="00287F6C" w:rsidP="00F520B8"/>
    <w:p w14:paraId="26D72AEE" w14:textId="77777777" w:rsidR="00287F6C" w:rsidRDefault="00287F6C" w:rsidP="00F520B8"/>
    <w:sectPr w:rsidR="00287F6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150C9" w14:textId="77777777" w:rsidR="002F0E97" w:rsidRDefault="002F0E97" w:rsidP="00442327">
      <w:r>
        <w:separator/>
      </w:r>
    </w:p>
  </w:endnote>
  <w:endnote w:type="continuationSeparator" w:id="0">
    <w:p w14:paraId="54EA2A05" w14:textId="77777777" w:rsidR="002F0E97" w:rsidRDefault="002F0E97" w:rsidP="004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399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80AFC" w14:textId="14FF2820" w:rsidR="00442327" w:rsidRDefault="00442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D33F8" w14:textId="1DC0DB1B" w:rsidR="00442327" w:rsidRDefault="00442327">
    <w:pPr>
      <w:pStyle w:val="Footer"/>
    </w:pPr>
    <w:r>
      <w:t xml:space="preserve">School Self Audit and Assurance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A5E6" w14:textId="77777777" w:rsidR="002F0E97" w:rsidRDefault="002F0E97" w:rsidP="00442327">
      <w:r>
        <w:separator/>
      </w:r>
    </w:p>
  </w:footnote>
  <w:footnote w:type="continuationSeparator" w:id="0">
    <w:p w14:paraId="1F242D97" w14:textId="77777777" w:rsidR="002F0E97" w:rsidRDefault="002F0E97" w:rsidP="00442327">
      <w:r>
        <w:continuationSeparator/>
      </w:r>
    </w:p>
  </w:footnote>
  <w:footnote w:id="1">
    <w:p w14:paraId="7F69110C" w14:textId="77777777" w:rsidR="00442327" w:rsidRDefault="00442327" w:rsidP="00442327">
      <w:pPr>
        <w:pStyle w:val="FootnoteText"/>
      </w:pPr>
      <w:r w:rsidRPr="00752271">
        <w:rPr>
          <w:rStyle w:val="FootnoteReference"/>
        </w:rPr>
        <w:footnoteRef/>
      </w:r>
      <w:r w:rsidRPr="00752271">
        <w:t xml:space="preserve"> </w:t>
      </w:r>
      <w:hyperlink r:id="rId1" w:history="1">
        <w:r>
          <w:rPr>
            <w:rStyle w:val="Hyperlink"/>
            <w:szCs w:val="36"/>
          </w:rPr>
          <w:t xml:space="preserve">Education at off-site locations </w:t>
        </w:r>
      </w:hyperlink>
      <w:r>
        <w:t xml:space="preserve">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84A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B8"/>
    <w:rsid w:val="00082132"/>
    <w:rsid w:val="000E7570"/>
    <w:rsid w:val="001A6348"/>
    <w:rsid w:val="00287F6C"/>
    <w:rsid w:val="002E181F"/>
    <w:rsid w:val="002F0E97"/>
    <w:rsid w:val="002F4379"/>
    <w:rsid w:val="00382FFD"/>
    <w:rsid w:val="00442327"/>
    <w:rsid w:val="00556A85"/>
    <w:rsid w:val="007C3AC5"/>
    <w:rsid w:val="007F461C"/>
    <w:rsid w:val="009A3BE5"/>
    <w:rsid w:val="009C3F9B"/>
    <w:rsid w:val="00B0712B"/>
    <w:rsid w:val="00BA6213"/>
    <w:rsid w:val="00CE47A3"/>
    <w:rsid w:val="00D703F2"/>
    <w:rsid w:val="00E34F2B"/>
    <w:rsid w:val="00F520B8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D1C1"/>
  <w15:chartTrackingRefBased/>
  <w15:docId w15:val="{39F7A1BF-CDFE-4765-A998-25F5435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B8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theme="minorHAnsi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BE5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0065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20B8"/>
    <w:pPr>
      <w:keepNext/>
      <w:spacing w:before="240" w:after="24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20B8"/>
    <w:rPr>
      <w:rFonts w:eastAsia="Times New Roman" w:cstheme="minorHAnsi"/>
      <w:b/>
      <w:sz w:val="28"/>
      <w:szCs w:val="20"/>
    </w:rPr>
  </w:style>
  <w:style w:type="paragraph" w:styleId="ListParagraph">
    <w:name w:val="List Paragraph"/>
    <w:aliases w:val="List Paragraph numbered,List Paragraph1,List Bullet indent,Rec para,List 1,Other List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F520B8"/>
    <w:pPr>
      <w:ind w:left="720"/>
    </w:pPr>
  </w:style>
  <w:style w:type="character" w:customStyle="1" w:styleId="ListParagraphChar">
    <w:name w:val="List Paragraph Char"/>
    <w:aliases w:val="List Paragraph numbered Char,List Paragraph1 Char,List Bullet indent Char,Rec para Char,List 1 Char,Other List Char,Bullet List Char,FooterText Char,numbered Char,Paragraphe de liste1 Char,Bulletr List Paragraph Char,列出段落 Char"/>
    <w:basedOn w:val="DefaultParagraphFont"/>
    <w:link w:val="ListParagraph"/>
    <w:uiPriority w:val="34"/>
    <w:locked/>
    <w:rsid w:val="00F520B8"/>
    <w:rPr>
      <w:rFonts w:eastAsia="Times New Roman" w:cs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3BE5"/>
    <w:rPr>
      <w:rFonts w:asciiTheme="majorHAnsi" w:eastAsiaTheme="majorEastAsia" w:hAnsiTheme="majorHAnsi" w:cstheme="majorBidi"/>
      <w:color w:val="00656A" w:themeColor="text2"/>
      <w:sz w:val="32"/>
      <w:szCs w:val="32"/>
    </w:rPr>
  </w:style>
  <w:style w:type="paragraph" w:styleId="Header">
    <w:name w:val="header"/>
    <w:basedOn w:val="Normal"/>
    <w:link w:val="HeaderChar"/>
    <w:rsid w:val="00442327"/>
  </w:style>
  <w:style w:type="character" w:customStyle="1" w:styleId="HeaderChar">
    <w:name w:val="Header Char"/>
    <w:basedOn w:val="DefaultParagraphFont"/>
    <w:link w:val="Header"/>
    <w:rsid w:val="00442327"/>
    <w:rPr>
      <w:rFonts w:eastAsia="Times New Roman" w:cstheme="minorHAnsi"/>
      <w:szCs w:val="20"/>
    </w:rPr>
  </w:style>
  <w:style w:type="character" w:styleId="Hyperlink">
    <w:name w:val="Hyperlink"/>
    <w:basedOn w:val="DefaultParagraphFont"/>
    <w:rsid w:val="0044232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423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327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232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42327"/>
    <w:pPr>
      <w:tabs>
        <w:tab w:val="clear" w:pos="4153"/>
        <w:tab w:val="clear" w:pos="830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327"/>
    <w:rPr>
      <w:rFonts w:eastAsia="Times New Roman" w:cstheme="minorHAnsi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48"/>
    <w:rPr>
      <w:rFonts w:eastAsia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48"/>
    <w:rPr>
      <w:rFonts w:eastAsia="Times New Roman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tion.govt.nz/school/health-safety-and-wellbeing/managing-risks-and-hazards-at-school/education-at-off-site-locations/" TargetMode="External"/></Relationships>
</file>

<file path=word/theme/theme1.xml><?xml version="1.0" encoding="utf-8"?>
<a:theme xmlns:a="http://schemas.openxmlformats.org/drawingml/2006/main" name="Office Theme">
  <a:themeElements>
    <a:clrScheme name="ERO 2020">
      <a:dk1>
        <a:sysClr val="windowText" lastClr="000000"/>
      </a:dk1>
      <a:lt1>
        <a:srgbClr val="97C7D5"/>
      </a:lt1>
      <a:dk2>
        <a:srgbClr val="00656A"/>
      </a:dk2>
      <a:lt2>
        <a:srgbClr val="009288"/>
      </a:lt2>
      <a:accent1>
        <a:srgbClr val="5EC6BF"/>
      </a:accent1>
      <a:accent2>
        <a:srgbClr val="6773AD"/>
      </a:accent2>
      <a:accent3>
        <a:srgbClr val="96B593"/>
      </a:accent3>
      <a:accent4>
        <a:srgbClr val="C3B681"/>
      </a:accent4>
      <a:accent5>
        <a:srgbClr val="D67467"/>
      </a:accent5>
      <a:accent6>
        <a:srgbClr val="93BD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25047AEDA7E4D8B92A0B55DC6BCE4" ma:contentTypeVersion="13" ma:contentTypeDescription="Create a new document." ma:contentTypeScope="" ma:versionID="6509c6f4178d28a943fc528312a69e6f">
  <xsd:schema xmlns:xsd="http://www.w3.org/2001/XMLSchema" xmlns:xs="http://www.w3.org/2001/XMLSchema" xmlns:p="http://schemas.microsoft.com/office/2006/metadata/properties" xmlns:ns3="5ca3274d-a3f1-446e-bd85-63ea3bca3341" xmlns:ns4="ebb4a40b-978b-4c42-891f-7dafe2f867e5" targetNamespace="http://schemas.microsoft.com/office/2006/metadata/properties" ma:root="true" ma:fieldsID="0cc05e4425c0e3b60812ef74d3badf4f" ns3:_="" ns4:_="">
    <xsd:import namespace="5ca3274d-a3f1-446e-bd85-63ea3bca3341"/>
    <xsd:import namespace="ebb4a40b-978b-4c42-891f-7dafe2f86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274d-a3f1-446e-bd85-63ea3bca3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4a40b-978b-4c42-891f-7dafe2f8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127D3-51A1-4AA7-B7C8-EF2830458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3274d-a3f1-446e-bd85-63ea3bca3341"/>
    <ds:schemaRef ds:uri="ebb4a40b-978b-4c42-891f-7dafe2f8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C3392-E102-4066-87A7-670BDC3B3A4F}">
  <ds:schemaRefs>
    <ds:schemaRef ds:uri="http://purl.org/dc/elements/1.1/"/>
    <ds:schemaRef ds:uri="http://schemas.microsoft.com/office/2006/documentManagement/types"/>
    <ds:schemaRef ds:uri="5ca3274d-a3f1-446e-bd85-63ea3bca33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b4a40b-978b-4c42-891f-7dafe2f867e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562B29-7A56-46A6-A387-5C4A29976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Mark Evans</cp:lastModifiedBy>
  <cp:revision>3</cp:revision>
  <dcterms:created xsi:type="dcterms:W3CDTF">2021-01-31T22:24:00Z</dcterms:created>
  <dcterms:modified xsi:type="dcterms:W3CDTF">2021-02-07T18:23:00Z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0x010100D0825047AEDA7E4D8B92A0B55DC6BCE4</vt:lpwstr>
  </property>
</Properties>
</file>